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395048"/>
            <wp:docPr id="1" name="Picture 1"/>
            <wp:cNvGraphicFramePr>
              <a:graphicFrameLocks noChangeAspect="1"/>
            </wp:cNvGraphicFramePr>
            <a:graphic>
              <a:graphicData uri="http://schemas.openxmlformats.org/drawingml/2006/picture">
                <pic:pic>
                  <pic:nvPicPr>
                    <pic:cNvPr id="0" name="lockup-colour.png"/>
                    <pic:cNvPicPr/>
                  </pic:nvPicPr>
                  <pic:blipFill>
                    <a:blip r:embed="rId11"/>
                    <a:stretch>
                      <a:fillRect/>
                    </a:stretch>
                  </pic:blipFill>
                  <pic:spPr>
                    <a:xfrm>
                      <a:off x="0" y="0"/>
                      <a:ext cx="1872000" cy="395048"/>
                    </a:xfrm>
                    <a:prstGeom prst="rect"/>
                  </pic:spPr>
                </pic:pic>
              </a:graphicData>
            </a:graphic>
          </wp:inline>
        </w:drawing>
      </w:r>
    </w:p>
    <w:p>
      <w:pPr>
        <w:spacing w:after="40" w:before="520" w:line="276" w:lineRule="auto"/>
      </w:pPr>
      <w:r>
        <w:rPr>
          <w:rFonts w:ascii="Arial" w:hAnsi="Arial"/>
          <w:b/>
          <w:i w:val="0"/>
          <w:color w:val="2350C0"/>
          <w:sz w:val="18"/>
        </w:rPr>
        <w:t>AREALYTICS API</w:t>
      </w:r>
    </w:p>
    <w:p>
      <w:pPr>
        <w:spacing w:after="80" w:before="0" w:line="276" w:lineRule="auto"/>
      </w:pPr>
      <w:r>
        <w:rPr>
          <w:rFonts w:ascii="Arial" w:hAnsi="Arial"/>
          <w:b/>
          <w:i w:val="0"/>
          <w:color w:val="171717"/>
          <w:sz w:val="52"/>
        </w:rPr>
        <w:t>Access &amp; Requirements Guide</w:t>
      </w:r>
    </w:p>
    <w:p>
      <w:pPr>
        <w:spacing w:after="280" w:before="0" w:line="276" w:lineRule="auto"/>
      </w:pPr>
      <w:r>
        <w:rPr>
          <w:rFonts w:ascii="Arial" w:hAnsi="Arial"/>
          <w:b w:val="0"/>
          <w:i w:val="0"/>
          <w:color w:val="5E688A"/>
          <w:sz w:val="23"/>
        </w:rPr>
        <w:t>For organisations planning to integrate Arealytics data into their own platforms, data warehouse or client products.</w:t>
      </w:r>
    </w:p>
    <w:p>
      <w:pPr>
        <w:spacing w:after="360" w:before="0" w:line="276" w:lineRule="auto"/>
      </w:pPr>
      <w:r>
        <w:rPr>
          <w:rFonts w:ascii="Arial" w:hAnsi="Arial"/>
          <w:b w:val="0"/>
          <w:i w:val="0"/>
          <w:color w:val="5E688A"/>
          <w:sz w:val="17"/>
        </w:rPr>
        <w:t>Version 1.0 · October 2026 · aligned to API Terms v2.3</w:t>
      </w:r>
    </w:p>
    <w:tbl>
      <w:tblPr>
        <w:tblLook w:firstColumn="1" w:firstRow="1" w:lastColumn="0" w:lastRow="0" w:noHBand="0" w:noVBand="1" w:val="04A0"/>
        <w:tblLayout w:type="fixed"/>
        <w:tblCellMar>
          <w:top w:w="140" w:type="dxa"/>
          <w:bottom w:w="140" w:type="dxa"/>
          <w:left w:w="180" w:type="dxa"/>
          <w:right w:w="180" w:type="dxa"/>
        </w:tblCellMar>
        <w:tblLayout w:type="fixed"/>
        <w:tblW w:w="9412" w:type="dxa"/>
      </w:tblPr>
      <w:tblGrid>
        <w:gridCol w:w="9412"/>
      </w:tblGrid>
      <w:tr>
        <w:tc>
          <w:tcPr>
            <w:tcW w:type="dxa" w:w="9411"/>
            <w:shd w:val="clear" w:color="auto" w:fill="EAF1FB"/>
          </w:tcPr>
          <w:p>
            <w:pPr>
              <w:spacing w:after="60"/>
            </w:pPr>
            <w:r>
              <w:rPr>
                <w:rFonts w:ascii="Arial" w:hAnsi="Arial"/>
                <w:b/>
                <w:i w:val="0"/>
                <w:color w:val="2350C0"/>
                <w:sz w:val="16"/>
              </w:rPr>
              <w:t>HOW TO USE THIS GUIDE</w:t>
            </w:r>
          </w:p>
          <w:p>
            <w:pPr>
              <w:spacing w:after="0"/>
            </w:pPr>
            <w:r>
              <w:rPr>
                <w:rFonts w:ascii="Arial" w:hAnsi="Arial"/>
                <w:b/>
                <w:i w:val="0"/>
                <w:color w:val="171717"/>
                <w:sz w:val="19"/>
              </w:rPr>
              <w:t>Part A</w:t>
            </w:r>
            <w:r>
              <w:rPr>
                <w:rFonts w:ascii="Arial" w:hAnsi="Arial"/>
                <w:b w:val="0"/>
                <w:i w:val="0"/>
                <w:color w:val="374151"/>
                <w:sz w:val="19"/>
              </w:rPr>
              <w:t xml:space="preserve"> explains how API access works: the two access tiers, the six datasets, coverage, security and the key licence terms. </w:t>
            </w:r>
            <w:r>
              <w:rPr>
                <w:rFonts w:ascii="Arial" w:hAnsi="Arial"/>
                <w:b/>
                <w:i w:val="0"/>
                <w:color w:val="171717"/>
                <w:sz w:val="19"/>
              </w:rPr>
              <w:t>Part B</w:t>
            </w:r>
            <w:r>
              <w:rPr>
                <w:rFonts w:ascii="Arial" w:hAnsi="Arial"/>
                <w:b w:val="0"/>
                <w:i w:val="0"/>
                <w:color w:val="374151"/>
                <w:sz w:val="19"/>
              </w:rPr>
              <w:t xml:space="preserve"> is your requirements brief. Complete it and return it to your Arealytics account manager, and we will use it to scope your API Order Form and arrange a technical working session.</w:t>
            </w:r>
          </w:p>
        </w:tc>
      </w:tr>
    </w:tbl>
    <w:p>
      <w:pPr>
        <w:spacing w:after="80"/>
      </w:pPr>
    </w:p>
    <w:p>
      <w:pPr>
        <w:pStyle w:val="Heading1"/>
        <w:keepNext/>
        <w:spacing w:before="320" w:after="120"/>
      </w:pPr>
      <w:r>
        <w:rPr>
          <w:rFonts w:ascii="Arial" w:hAnsi="Arial"/>
          <w:b/>
          <w:i w:val="0"/>
          <w:color w:val="2350C0"/>
          <w:sz w:val="30"/>
        </w:rPr>
        <w:t>Part A — How Arealytics API access works</w:t>
      </w:r>
    </w:p>
    <w:p>
      <w:pPr>
        <w:pStyle w:val="Heading2"/>
        <w:keepNext/>
        <w:spacing w:before="200" w:after="120"/>
      </w:pPr>
      <w:r>
        <w:rPr>
          <w:rFonts w:ascii="Arial" w:hAnsi="Arial"/>
          <w:b/>
          <w:i w:val="0"/>
          <w:color w:val="171717"/>
          <w:sz w:val="23"/>
        </w:rPr>
        <w:t>1. What the API is</w:t>
      </w:r>
    </w:p>
    <w:p>
      <w:pPr>
        <w:spacing w:after="120" w:before="0" w:line="276" w:lineRule="auto"/>
      </w:pPr>
      <w:r>
        <w:rPr>
          <w:rFonts w:ascii="Arial" w:hAnsi="Arial"/>
          <w:b w:val="0"/>
          <w:i w:val="0"/>
          <w:color w:val="374151"/>
          <w:sz w:val="20"/>
        </w:rPr>
        <w:t>The Arealytics API gives your systems programmatic access to the same independently verified commercial property data your team uses in Arealytics Pro. It is designed for organisations that need Arealytics data inside their own research platforms, data warehouses, CRM and reporting tools, rather than only in the Arealytics Pro interface.</w:t>
      </w:r>
    </w:p>
    <w:p>
      <w:pPr>
        <w:spacing w:after="120" w:before="0" w:line="276" w:lineRule="auto"/>
      </w:pPr>
      <w:r>
        <w:rPr>
          <w:rFonts w:ascii="Arial" w:hAnsi="Arial"/>
          <w:b w:val="0"/>
          <w:i w:val="0"/>
          <w:color w:val="374151"/>
          <w:sz w:val="20"/>
        </w:rPr>
        <w:t>API access is an add-on to Arealytics Pro. It is available only while your organisation holds a current Arealytics Pro subscription, and the API agreement runs for the same term as that subscription.</w:t>
      </w:r>
    </w:p>
    <w:p>
      <w:pPr>
        <w:pStyle w:val="Heading2"/>
        <w:keepNext/>
        <w:spacing w:before="200" w:after="120"/>
      </w:pPr>
      <w:r>
        <w:rPr>
          <w:rFonts w:ascii="Arial" w:hAnsi="Arial"/>
          <w:b/>
          <w:i w:val="0"/>
          <w:color w:val="171717"/>
          <w:sz w:val="23"/>
        </w:rPr>
        <w:t>2. Two access tiers</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1927"/>
        <w:gridCol w:w="3685"/>
        <w:gridCol w:w="3742"/>
      </w:tblGrid>
      <w:tr>
        <w:trPr>
          <w:cantSplit/>
          <w:tblHeader/>
        </w:trPr>
        <w:tc>
          <w:tcPr>
            <w:tcW w:type="dxa" w:w="1928"/>
            <w:shd w:val="clear" w:color="auto" w:fill="2350C0"/>
          </w:tcPr>
          <w:p>
            <w:pPr>
              <w:spacing w:after="0"/>
            </w:pPr>
            <w:r>
              <w:rPr>
                <w:rFonts w:ascii="Arial" w:hAnsi="Arial"/>
                <w:b/>
                <w:i w:val="0"/>
                <w:color w:val="FFFFFF"/>
                <w:sz w:val="18"/>
              </w:rPr>
            </w:r>
          </w:p>
        </w:tc>
        <w:tc>
          <w:tcPr>
            <w:tcW w:type="dxa" w:w="3685"/>
            <w:shd w:val="clear" w:color="auto" w:fill="2350C0"/>
          </w:tcPr>
          <w:p>
            <w:pPr>
              <w:spacing w:after="0"/>
            </w:pPr>
            <w:r>
              <w:rPr>
                <w:rFonts w:ascii="Arial" w:hAnsi="Arial"/>
                <w:b/>
                <w:i w:val="0"/>
                <w:color w:val="FFFFFF"/>
                <w:sz w:val="18"/>
              </w:rPr>
              <w:t>Standard API</w:t>
            </w:r>
          </w:p>
        </w:tc>
        <w:tc>
          <w:tcPr>
            <w:tcW w:type="dxa" w:w="3742"/>
            <w:shd w:val="clear" w:color="auto" w:fill="2350C0"/>
          </w:tcPr>
          <w:p>
            <w:pPr>
              <w:spacing w:after="0"/>
            </w:pPr>
            <w:r>
              <w:rPr>
                <w:rFonts w:ascii="Arial" w:hAnsi="Arial"/>
                <w:b/>
                <w:i w:val="0"/>
                <w:color w:val="FFFFFF"/>
                <w:sz w:val="18"/>
              </w:rPr>
              <w:t>Distribution API</w:t>
            </w:r>
          </w:p>
        </w:tc>
      </w:tr>
      <w:tr>
        <w:trPr>
          <w:cantSplit/>
        </w:trPr>
        <w:tc>
          <w:tcPr>
            <w:tcW w:type="dxa" w:w="1928"/>
          </w:tcPr>
          <w:p>
            <w:pPr>
              <w:spacing w:after="0"/>
            </w:pPr>
            <w:r>
              <w:rPr>
                <w:rFonts w:ascii="Arial" w:hAnsi="Arial"/>
                <w:b/>
                <w:i w:val="0"/>
                <w:color w:val="171717"/>
                <w:sz w:val="18"/>
              </w:rPr>
              <w:t>Who it suits</w:t>
            </w:r>
          </w:p>
        </w:tc>
        <w:tc>
          <w:tcPr>
            <w:tcW w:type="dxa" w:w="3685"/>
          </w:tcPr>
          <w:p>
            <w:pPr>
              <w:spacing w:after="0"/>
            </w:pPr>
            <w:r>
              <w:rPr>
                <w:rFonts w:ascii="Arial" w:hAnsi="Arial"/>
                <w:b w:val="0"/>
                <w:i w:val="0"/>
                <w:color w:val="374151"/>
                <w:sz w:val="18"/>
              </w:rPr>
              <w:t>Organisations using Arealytics data inside their own business</w:t>
            </w:r>
          </w:p>
        </w:tc>
        <w:tc>
          <w:tcPr>
            <w:tcW w:type="dxa" w:w="3742"/>
          </w:tcPr>
          <w:p>
            <w:pPr>
              <w:spacing w:after="0"/>
            </w:pPr>
            <w:r>
              <w:rPr>
                <w:rFonts w:ascii="Arial" w:hAnsi="Arial"/>
                <w:b w:val="0"/>
                <w:i w:val="0"/>
                <w:color w:val="374151"/>
                <w:sz w:val="18"/>
              </w:rPr>
              <w:t>Organisations building a product, report or platform supplied to their own clients</w:t>
            </w:r>
          </w:p>
        </w:tc>
      </w:tr>
      <w:tr>
        <w:trPr>
          <w:cantSplit/>
        </w:trPr>
        <w:tc>
          <w:tcPr>
            <w:tcW w:type="dxa" w:w="1928"/>
            <w:shd w:val="clear" w:color="auto" w:fill="F5F7FA"/>
          </w:tcPr>
          <w:p>
            <w:pPr>
              <w:spacing w:after="0"/>
            </w:pPr>
            <w:r>
              <w:rPr>
                <w:rFonts w:ascii="Arial" w:hAnsi="Arial"/>
                <w:b/>
                <w:i w:val="0"/>
                <w:color w:val="171717"/>
                <w:sz w:val="18"/>
              </w:rPr>
              <w:t>What you can do</w:t>
            </w:r>
          </w:p>
        </w:tc>
        <w:tc>
          <w:tcPr>
            <w:tcW w:type="dxa" w:w="3685"/>
            <w:shd w:val="clear" w:color="auto" w:fill="F5F7FA"/>
          </w:tcPr>
          <w:p>
            <w:pPr>
              <w:spacing w:after="0"/>
            </w:pPr>
            <w:r>
              <w:rPr>
                <w:rFonts w:ascii="Arial" w:hAnsi="Arial"/>
                <w:b w:val="0"/>
                <w:i w:val="0"/>
                <w:color w:val="374151"/>
                <w:sz w:val="18"/>
              </w:rPr>
              <w:t>Use the data internally — research, analysis, decision-making, and fixed reports for your own internal use</w:t>
            </w:r>
          </w:p>
        </w:tc>
        <w:tc>
          <w:tcPr>
            <w:tcW w:type="dxa" w:w="3742"/>
            <w:shd w:val="clear" w:color="auto" w:fill="F5F7FA"/>
          </w:tcPr>
          <w:p>
            <w:pPr>
              <w:spacing w:after="0"/>
            </w:pPr>
            <w:r>
              <w:rPr>
                <w:rFonts w:ascii="Arial" w:hAnsi="Arial"/>
                <w:b w:val="0"/>
                <w:i w:val="0"/>
                <w:color w:val="374151"/>
                <w:sz w:val="18"/>
              </w:rPr>
              <w:t xml:space="preserve">Everything in Standard, plus include Arealytics data in an </w:t>
            </w:r>
            <w:r>
              <w:rPr>
                <w:rFonts w:ascii="Arial" w:hAnsi="Arial"/>
                <w:b/>
                <w:i w:val="0"/>
                <w:color w:val="171717"/>
                <w:sz w:val="18"/>
              </w:rPr>
              <w:t>Approved Product</w:t>
            </w:r>
            <w:r>
              <w:rPr>
                <w:rFonts w:ascii="Arial" w:hAnsi="Arial"/>
                <w:b w:val="0"/>
                <w:i w:val="0"/>
                <w:color w:val="374151"/>
                <w:sz w:val="18"/>
              </w:rPr>
              <w:t xml:space="preserve"> supplied to your end clients</w:t>
            </w:r>
          </w:p>
        </w:tc>
      </w:tr>
      <w:tr>
        <w:trPr>
          <w:cantSplit/>
        </w:trPr>
        <w:tc>
          <w:tcPr>
            <w:tcW w:type="dxa" w:w="1928"/>
          </w:tcPr>
          <w:p>
            <w:pPr>
              <w:spacing w:after="0"/>
            </w:pPr>
            <w:r>
              <w:rPr>
                <w:rFonts w:ascii="Arial" w:hAnsi="Arial"/>
                <w:b/>
                <w:i w:val="0"/>
                <w:color w:val="171717"/>
                <w:sz w:val="18"/>
              </w:rPr>
              <w:t>Sharing outside your organisation</w:t>
            </w:r>
          </w:p>
        </w:tc>
        <w:tc>
          <w:tcPr>
            <w:tcW w:type="dxa" w:w="3685"/>
          </w:tcPr>
          <w:p>
            <w:pPr>
              <w:spacing w:after="0"/>
            </w:pPr>
            <w:r>
              <w:rPr>
                <w:rFonts w:ascii="Arial" w:hAnsi="Arial"/>
                <w:b w:val="0"/>
                <w:i w:val="0"/>
                <w:color w:val="374151"/>
                <w:sz w:val="18"/>
              </w:rPr>
              <w:t>Not permitted</w:t>
            </w:r>
          </w:p>
        </w:tc>
        <w:tc>
          <w:tcPr>
            <w:tcW w:type="dxa" w:w="3742"/>
          </w:tcPr>
          <w:p>
            <w:pPr>
              <w:spacing w:after="0"/>
            </w:pPr>
            <w:r>
              <w:rPr>
                <w:rFonts w:ascii="Arial" w:hAnsi="Arial"/>
                <w:b w:val="0"/>
                <w:i w:val="0"/>
                <w:color w:val="374151"/>
                <w:sz w:val="18"/>
              </w:rPr>
              <w:t>Only within the Approved Products named in your Order Form, never as raw data, feeds or exports</w:t>
            </w:r>
          </w:p>
        </w:tc>
      </w:tr>
      <w:tr>
        <w:trPr>
          <w:cantSplit/>
        </w:trPr>
        <w:tc>
          <w:tcPr>
            <w:tcW w:type="dxa" w:w="1928"/>
            <w:shd w:val="clear" w:color="auto" w:fill="F5F7FA"/>
          </w:tcPr>
          <w:p>
            <w:pPr>
              <w:spacing w:after="0"/>
            </w:pPr>
            <w:r>
              <w:rPr>
                <w:rFonts w:ascii="Arial" w:hAnsi="Arial"/>
                <w:b/>
                <w:i w:val="0"/>
                <w:color w:val="171717"/>
                <w:sz w:val="18"/>
              </w:rPr>
              <w:t>End-client terms</w:t>
            </w:r>
          </w:p>
        </w:tc>
        <w:tc>
          <w:tcPr>
            <w:tcW w:type="dxa" w:w="3685"/>
            <w:shd w:val="clear" w:color="auto" w:fill="F5F7FA"/>
          </w:tcPr>
          <w:p>
            <w:pPr>
              <w:spacing w:after="0"/>
            </w:pPr>
            <w:r>
              <w:rPr>
                <w:rFonts w:ascii="Arial" w:hAnsi="Arial"/>
                <w:b w:val="0"/>
                <w:i w:val="0"/>
                <w:color w:val="374151"/>
                <w:sz w:val="18"/>
              </w:rPr>
              <w:t>Not applicable</w:t>
            </w:r>
          </w:p>
        </w:tc>
        <w:tc>
          <w:tcPr>
            <w:tcW w:type="dxa" w:w="3742"/>
            <w:shd w:val="clear" w:color="auto" w:fill="F5F7FA"/>
          </w:tcPr>
          <w:p>
            <w:pPr>
              <w:spacing w:after="0"/>
            </w:pPr>
            <w:r>
              <w:rPr>
                <w:rFonts w:ascii="Arial" w:hAnsi="Arial"/>
                <w:b w:val="0"/>
                <w:i w:val="0"/>
                <w:color w:val="374151"/>
                <w:sz w:val="18"/>
              </w:rPr>
              <w:t>Your end clients must be bound by written terms protecting the data (internal use only, no extraction, no redistribution)</w:t>
            </w:r>
          </w:p>
        </w:tc>
      </w:tr>
    </w:tbl>
    <w:p>
      <w:pPr>
        <w:spacing w:after="80"/>
      </w:pPr>
    </w:p>
    <w:tbl>
      <w:tblPr>
        <w:tblLook w:firstColumn="1" w:firstRow="1" w:lastColumn="0" w:lastRow="0" w:noHBand="0" w:noVBand="1" w:val="04A0"/>
        <w:tblLayout w:type="fixed"/>
        <w:tblCellMar>
          <w:top w:w="140" w:type="dxa"/>
          <w:bottom w:w="140" w:type="dxa"/>
          <w:left w:w="180" w:type="dxa"/>
          <w:right w:w="180" w:type="dxa"/>
        </w:tblCellMar>
        <w:tblLayout w:type="fixed"/>
        <w:tblW w:w="9412" w:type="dxa"/>
      </w:tblPr>
      <w:tblGrid>
        <w:gridCol w:w="9412"/>
      </w:tblGrid>
      <w:tr>
        <w:tc>
          <w:tcPr>
            <w:tcW w:type="dxa" w:w="9411"/>
            <w:shd w:val="clear" w:color="auto" w:fill="EAF1FB"/>
          </w:tcPr>
          <w:p>
            <w:pPr>
              <w:spacing w:after="60"/>
            </w:pPr>
            <w:r>
              <w:rPr>
                <w:rFonts w:ascii="Arial" w:hAnsi="Arial"/>
                <w:b/>
                <w:i w:val="0"/>
                <w:color w:val="2350C0"/>
                <w:sz w:val="16"/>
              </w:rPr>
              <w:t>CLIENT-FACING OUTPUTS</w:t>
            </w:r>
          </w:p>
          <w:p>
            <w:pPr>
              <w:spacing w:after="0"/>
            </w:pPr>
            <w:r>
              <w:rPr>
                <w:rFonts w:ascii="Arial" w:hAnsi="Arial"/>
                <w:b w:val="0"/>
                <w:i w:val="0"/>
                <w:color w:val="374151"/>
                <w:sz w:val="19"/>
              </w:rPr>
              <w:t>If you want Arealytics data to appear in anything your clients see — reports, dashboards, valuations or a platform — tell us in Part B. That use needs the Distribution API, with each product described in your Order Form.</w:t>
            </w:r>
          </w:p>
        </w:tc>
      </w:tr>
    </w:tbl>
    <w:p>
      <w:pPr>
        <w:spacing w:after="80"/>
      </w:pPr>
    </w:p>
    <w:p>
      <w:pPr>
        <w:pStyle w:val="Heading2"/>
        <w:keepNext/>
        <w:spacing w:before="200" w:after="120"/>
      </w:pPr>
      <w:r>
        <w:rPr>
          <w:rFonts w:ascii="Arial" w:hAnsi="Arial"/>
          <w:b/>
          <w:i w:val="0"/>
          <w:color w:val="171717"/>
          <w:sz w:val="23"/>
        </w:rPr>
        <w:t>3. The six datasets</w:t>
      </w:r>
    </w:p>
    <w:p>
      <w:pPr>
        <w:spacing w:after="120" w:before="0" w:line="276" w:lineRule="auto"/>
      </w:pPr>
      <w:r>
        <w:rPr>
          <w:rFonts w:ascii="Arial" w:hAnsi="Arial"/>
          <w:b w:val="0"/>
          <w:i w:val="0"/>
          <w:color w:val="374151"/>
          <w:sz w:val="20"/>
        </w:rPr>
        <w:t xml:space="preserve">Arealytics data is organised into six interconnected datasets. Every record joins to the others through the </w:t>
      </w:r>
      <w:r>
        <w:rPr>
          <w:rFonts w:ascii="Arial" w:hAnsi="Arial"/>
          <w:b/>
          <w:i w:val="0"/>
          <w:color w:val="171717"/>
          <w:sz w:val="20"/>
        </w:rPr>
        <w:t>Arealytics Property ID (PID)</w:t>
      </w:r>
      <w:r>
        <w:rPr>
          <w:rFonts w:ascii="Arial" w:hAnsi="Arial"/>
          <w:b w:val="0"/>
          <w:i w:val="0"/>
          <w:color w:val="374151"/>
          <w:sz w:val="20"/>
        </w:rPr>
        <w:t>, which is what lets you link a lease to its building, its tenant and its owner.</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2154"/>
        <w:gridCol w:w="7200"/>
      </w:tblGrid>
      <w:tr>
        <w:trPr>
          <w:cantSplit/>
          <w:tblHeader/>
        </w:trPr>
        <w:tc>
          <w:tcPr>
            <w:tcW w:type="dxa" w:w="2154"/>
            <w:shd w:val="clear" w:color="auto" w:fill="2350C0"/>
          </w:tcPr>
          <w:p>
            <w:pPr>
              <w:spacing w:after="0"/>
            </w:pPr>
            <w:r>
              <w:rPr>
                <w:rFonts w:ascii="Arial" w:hAnsi="Arial"/>
                <w:b/>
                <w:i w:val="0"/>
                <w:color w:val="FFFFFF"/>
                <w:sz w:val="18"/>
              </w:rPr>
              <w:t>Dataset</w:t>
            </w:r>
          </w:p>
        </w:tc>
        <w:tc>
          <w:tcPr>
            <w:tcW w:type="dxa" w:w="7200"/>
            <w:shd w:val="clear" w:color="auto" w:fill="2350C0"/>
          </w:tcPr>
          <w:p>
            <w:pPr>
              <w:spacing w:after="0"/>
            </w:pPr>
            <w:r>
              <w:rPr>
                <w:rFonts w:ascii="Arial" w:hAnsi="Arial"/>
                <w:b/>
                <w:i w:val="0"/>
                <w:color w:val="FFFFFF"/>
                <w:sz w:val="18"/>
              </w:rPr>
              <w:t>What it holds</w:t>
            </w:r>
          </w:p>
        </w:tc>
      </w:tr>
      <w:tr>
        <w:trPr>
          <w:cantSplit/>
        </w:trPr>
        <w:tc>
          <w:tcPr>
            <w:tcW w:type="dxa" w:w="2154"/>
          </w:tcPr>
          <w:p>
            <w:pPr>
              <w:spacing w:after="0"/>
            </w:pPr>
            <w:r>
              <w:rPr>
                <w:rFonts w:ascii="Arial" w:hAnsi="Arial"/>
                <w:b/>
                <w:i w:val="0"/>
                <w:color w:val="171717"/>
                <w:sz w:val="18"/>
              </w:rPr>
              <w:t>Property universe</w:t>
            </w:r>
          </w:p>
        </w:tc>
        <w:tc>
          <w:tcPr>
            <w:tcW w:type="dxa" w:w="7200"/>
          </w:tcPr>
          <w:p>
            <w:pPr>
              <w:spacing w:after="0"/>
            </w:pPr>
            <w:r>
              <w:rPr>
                <w:rFonts w:ascii="Arial" w:hAnsi="Arial"/>
                <w:b w:val="0"/>
                <w:i w:val="0"/>
                <w:color w:val="374151"/>
                <w:sz w:val="18"/>
              </w:rPr>
              <w:t>Property-level records across office, industrial, retail, commercial land and special-use assets: gross building area and land area, property type and use, building attributes, title classification (freehold or strata) and zoning. The spine every other dataset joins to.</w:t>
            </w:r>
          </w:p>
        </w:tc>
      </w:tr>
      <w:tr>
        <w:trPr>
          <w:cantSplit/>
        </w:trPr>
        <w:tc>
          <w:tcPr>
            <w:tcW w:type="dxa" w:w="2154"/>
            <w:shd w:val="clear" w:color="auto" w:fill="F5F7FA"/>
          </w:tcPr>
          <w:p>
            <w:pPr>
              <w:spacing w:after="0"/>
            </w:pPr>
            <w:r>
              <w:rPr>
                <w:rFonts w:ascii="Arial" w:hAnsi="Arial"/>
                <w:b/>
                <w:i w:val="0"/>
                <w:color w:val="171717"/>
                <w:sz w:val="18"/>
              </w:rPr>
              <w:t>Leases</w:t>
            </w:r>
          </w:p>
        </w:tc>
        <w:tc>
          <w:tcPr>
            <w:tcW w:type="dxa" w:w="7200"/>
            <w:shd w:val="clear" w:color="auto" w:fill="F5F7FA"/>
          </w:tcPr>
          <w:p>
            <w:pPr>
              <w:spacing w:after="0"/>
            </w:pPr>
            <w:r>
              <w:rPr>
                <w:rFonts w:ascii="Arial" w:hAnsi="Arial"/>
                <w:b w:val="0"/>
                <w:i w:val="0"/>
                <w:color w:val="374151"/>
                <w:sz w:val="18"/>
              </w:rPr>
              <w:t>Registered and field-verified lease transactions: confirmed net face rent, lettable area, lease term, start and expiry dates, escalations and passing rents, and tenant name and industry.</w:t>
            </w:r>
          </w:p>
        </w:tc>
      </w:tr>
      <w:tr>
        <w:trPr>
          <w:cantSplit/>
        </w:trPr>
        <w:tc>
          <w:tcPr>
            <w:tcW w:type="dxa" w:w="2154"/>
          </w:tcPr>
          <w:p>
            <w:pPr>
              <w:spacing w:after="0"/>
            </w:pPr>
            <w:r>
              <w:rPr>
                <w:rFonts w:ascii="Arial" w:hAnsi="Arial"/>
                <w:b/>
                <w:i w:val="0"/>
                <w:color w:val="171717"/>
                <w:sz w:val="18"/>
              </w:rPr>
              <w:t>Tenants &amp; occupiers</w:t>
            </w:r>
          </w:p>
        </w:tc>
        <w:tc>
          <w:tcPr>
            <w:tcW w:type="dxa" w:w="7200"/>
          </w:tcPr>
          <w:p>
            <w:pPr>
              <w:spacing w:after="0"/>
            </w:pPr>
            <w:r>
              <w:rPr>
                <w:rFonts w:ascii="Arial" w:hAnsi="Arial"/>
                <w:b w:val="0"/>
                <w:i w:val="0"/>
                <w:color w:val="374151"/>
                <w:sz w:val="18"/>
              </w:rPr>
              <w:t>The businesses inside each building: company name, branch, floor and suite, ABN or ACN, employee numbers, revenue and industry classification. Lease area and expiry come from the Leases dataset, joined on the PID.</w:t>
            </w:r>
          </w:p>
        </w:tc>
      </w:tr>
      <w:tr>
        <w:trPr>
          <w:cantSplit/>
        </w:trPr>
        <w:tc>
          <w:tcPr>
            <w:tcW w:type="dxa" w:w="2154"/>
            <w:shd w:val="clear" w:color="auto" w:fill="F5F7FA"/>
          </w:tcPr>
          <w:p>
            <w:pPr>
              <w:spacing w:after="0"/>
            </w:pPr>
            <w:r>
              <w:rPr>
                <w:rFonts w:ascii="Arial" w:hAnsi="Arial"/>
                <w:b/>
                <w:i w:val="0"/>
                <w:color w:val="171717"/>
                <w:sz w:val="18"/>
              </w:rPr>
              <w:t>Ownership</w:t>
            </w:r>
          </w:p>
        </w:tc>
        <w:tc>
          <w:tcPr>
            <w:tcW w:type="dxa" w:w="7200"/>
            <w:shd w:val="clear" w:color="auto" w:fill="F5F7FA"/>
          </w:tcPr>
          <w:p>
            <w:pPr>
              <w:spacing w:after="0"/>
            </w:pPr>
            <w:r>
              <w:rPr>
                <w:rFonts w:ascii="Arial" w:hAnsi="Arial"/>
                <w:b w:val="0"/>
                <w:i w:val="0"/>
                <w:color w:val="374151"/>
                <w:sz w:val="18"/>
              </w:rPr>
              <w:t xml:space="preserve">Individual and entity ownership records, resolved from the </w:t>
            </w:r>
            <w:r>
              <w:rPr>
                <w:rFonts w:ascii="Arial" w:hAnsi="Arial"/>
                <w:b/>
                <w:i w:val="0"/>
                <w:color w:val="171717"/>
                <w:sz w:val="18"/>
              </w:rPr>
              <w:t>record owner</w:t>
            </w:r>
            <w:r>
              <w:rPr>
                <w:rFonts w:ascii="Arial" w:hAnsi="Arial"/>
                <w:b w:val="0"/>
                <w:i w:val="0"/>
                <w:color w:val="374151"/>
                <w:sz w:val="18"/>
              </w:rPr>
              <w:t xml:space="preserve"> on title to the </w:t>
            </w:r>
            <w:r>
              <w:rPr>
                <w:rFonts w:ascii="Arial" w:hAnsi="Arial"/>
                <w:b/>
                <w:i w:val="0"/>
                <w:color w:val="171717"/>
                <w:sz w:val="18"/>
              </w:rPr>
              <w:t>true owner</w:t>
            </w:r>
            <w:r>
              <w:rPr>
                <w:rFonts w:ascii="Arial" w:hAnsi="Arial"/>
                <w:b w:val="0"/>
                <w:i w:val="0"/>
                <w:color w:val="374151"/>
                <w:sz w:val="18"/>
              </w:rPr>
              <w:t xml:space="preserve"> parent entity, with portfolio holdings by owner.</w:t>
            </w:r>
          </w:p>
        </w:tc>
      </w:tr>
      <w:tr>
        <w:trPr>
          <w:cantSplit/>
        </w:trPr>
        <w:tc>
          <w:tcPr>
            <w:tcW w:type="dxa" w:w="2154"/>
          </w:tcPr>
          <w:p>
            <w:pPr>
              <w:spacing w:after="0"/>
            </w:pPr>
            <w:r>
              <w:rPr>
                <w:rFonts w:ascii="Arial" w:hAnsi="Arial"/>
                <w:b/>
                <w:i w:val="0"/>
                <w:color w:val="171717"/>
                <w:sz w:val="18"/>
              </w:rPr>
              <w:t>Sales</w:t>
            </w:r>
          </w:p>
        </w:tc>
        <w:tc>
          <w:tcPr>
            <w:tcW w:type="dxa" w:w="7200"/>
          </w:tcPr>
          <w:p>
            <w:pPr>
              <w:spacing w:after="0"/>
            </w:pPr>
            <w:r>
              <w:rPr>
                <w:rFonts w:ascii="Arial" w:hAnsi="Arial"/>
                <w:b w:val="0"/>
                <w:i w:val="0"/>
                <w:color w:val="374151"/>
                <w:sz w:val="18"/>
              </w:rPr>
              <w:t>Settled sales verified against the titles office: sale price, settlement date, analysed yield, and vendor and purchaser entities.</w:t>
            </w:r>
          </w:p>
        </w:tc>
      </w:tr>
      <w:tr>
        <w:trPr>
          <w:cantSplit/>
        </w:trPr>
        <w:tc>
          <w:tcPr>
            <w:tcW w:type="dxa" w:w="2154"/>
            <w:shd w:val="clear" w:color="auto" w:fill="F5F7FA"/>
          </w:tcPr>
          <w:p>
            <w:pPr>
              <w:spacing w:after="0"/>
            </w:pPr>
            <w:r>
              <w:rPr>
                <w:rFonts w:ascii="Arial" w:hAnsi="Arial"/>
                <w:b/>
                <w:i w:val="0"/>
                <w:color w:val="171717"/>
                <w:sz w:val="18"/>
              </w:rPr>
              <w:t>Listings</w:t>
            </w:r>
          </w:p>
        </w:tc>
        <w:tc>
          <w:tcPr>
            <w:tcW w:type="dxa" w:w="7200"/>
            <w:shd w:val="clear" w:color="auto" w:fill="F5F7FA"/>
          </w:tcPr>
          <w:p>
            <w:pPr>
              <w:spacing w:after="0"/>
            </w:pPr>
            <w:r>
              <w:rPr>
                <w:rFonts w:ascii="Arial" w:hAnsi="Arial"/>
                <w:b w:val="0"/>
                <w:i w:val="0"/>
                <w:color w:val="374151"/>
                <w:sz w:val="18"/>
              </w:rPr>
              <w:t>Active and historic for-sale and for-lease listings: asking price and rent, listing agent and agency, days on market and listing status.</w:t>
            </w:r>
          </w:p>
        </w:tc>
      </w:tr>
    </w:tbl>
    <w:p>
      <w:pPr>
        <w:spacing w:after="80"/>
      </w:pPr>
    </w:p>
    <w:tbl>
      <w:tblPr>
        <w:tblLook w:firstColumn="1" w:firstRow="1" w:lastColumn="0" w:lastRow="0" w:noHBand="0" w:noVBand="1" w:val="04A0"/>
        <w:tblLayout w:type="fixed"/>
        <w:tblCellMar>
          <w:top w:w="140" w:type="dxa"/>
          <w:bottom w:w="140" w:type="dxa"/>
          <w:left w:w="180" w:type="dxa"/>
          <w:right w:w="180" w:type="dxa"/>
        </w:tblCellMar>
        <w:tblLayout w:type="fixed"/>
        <w:tblW w:w="9412" w:type="dxa"/>
      </w:tblPr>
      <w:tblGrid>
        <w:gridCol w:w="9412"/>
      </w:tblGrid>
      <w:tr>
        <w:tc>
          <w:tcPr>
            <w:tcW w:type="dxa" w:w="9411"/>
            <w:shd w:val="clear" w:color="auto" w:fill="F5F7FA"/>
          </w:tcPr>
          <w:p>
            <w:pPr>
              <w:spacing w:after="60"/>
            </w:pPr>
            <w:r>
              <w:rPr>
                <w:rFonts w:ascii="Arial" w:hAnsi="Arial"/>
                <w:b/>
                <w:i w:val="0"/>
                <w:color w:val="2350C0"/>
                <w:sz w:val="16"/>
              </w:rPr>
              <w:t>WHAT WE DON'T HOLD</w:t>
            </w:r>
          </w:p>
          <w:p>
            <w:pPr>
              <w:spacing w:after="0"/>
            </w:pPr>
            <w:r>
              <w:rPr>
                <w:rFonts w:ascii="Arial" w:hAnsi="Arial"/>
                <w:b w:val="0"/>
                <w:i w:val="0"/>
                <w:color w:val="374151"/>
                <w:sz w:val="19"/>
              </w:rPr>
              <w:t xml:space="preserve">Lease </w:t>
            </w:r>
            <w:r>
              <w:rPr>
                <w:rFonts w:ascii="Arial" w:hAnsi="Arial"/>
                <w:b/>
                <w:i w:val="0"/>
                <w:color w:val="171717"/>
                <w:sz w:val="19"/>
              </w:rPr>
              <w:t>incentives are not captured</w:t>
            </w:r>
            <w:r>
              <w:rPr>
                <w:rFonts w:ascii="Arial" w:hAnsi="Arial"/>
                <w:b w:val="0"/>
                <w:i w:val="0"/>
                <w:color w:val="374151"/>
                <w:sz w:val="19"/>
              </w:rPr>
              <w:t xml:space="preserve">, so Arealytics does not supply an effective rent. Measures such as WALE and site coverage are </w:t>
            </w:r>
            <w:r>
              <w:rPr>
                <w:rFonts w:ascii="Arial" w:hAnsi="Arial"/>
                <w:b/>
                <w:i w:val="0"/>
                <w:color w:val="171717"/>
                <w:sz w:val="19"/>
              </w:rPr>
              <w:t>calculated</w:t>
            </w:r>
            <w:r>
              <w:rPr>
                <w:rFonts w:ascii="Arial" w:hAnsi="Arial"/>
                <w:b w:val="0"/>
                <w:i w:val="0"/>
                <w:color w:val="374151"/>
                <w:sz w:val="19"/>
              </w:rPr>
              <w:t xml:space="preserve"> from the fields above rather than held as fields. We don't provide forecasts.</w:t>
            </w:r>
          </w:p>
        </w:tc>
      </w:tr>
    </w:tbl>
    <w:p>
      <w:pPr>
        <w:spacing w:after="80"/>
      </w:pPr>
    </w:p>
    <w:p>
      <w:pPr>
        <w:pStyle w:val="Heading2"/>
        <w:keepNext/>
        <w:spacing w:before="200" w:after="120"/>
      </w:pPr>
      <w:r>
        <w:rPr>
          <w:rFonts w:ascii="Arial" w:hAnsi="Arial"/>
          <w:b/>
          <w:i w:val="0"/>
          <w:color w:val="171717"/>
          <w:sz w:val="23"/>
        </w:rPr>
        <w:t>4. Coverage and refresh</w:t>
      </w:r>
    </w:p>
    <w:p>
      <w:pPr>
        <w:pStyle w:val="ListBullet"/>
        <w:spacing w:after="60"/>
      </w:pPr>
      <w:r>
        <w:rPr>
          <w:rFonts w:ascii="Arial" w:hAnsi="Arial"/>
          <w:b/>
          <w:i w:val="0"/>
          <w:color w:val="171717"/>
          <w:sz w:val="20"/>
        </w:rPr>
        <w:t>Markets:</w:t>
      </w:r>
      <w:r>
        <w:rPr>
          <w:rFonts w:ascii="Arial" w:hAnsi="Arial"/>
          <w:b w:val="0"/>
          <w:i w:val="0"/>
          <w:color w:val="374151"/>
          <w:sz w:val="20"/>
        </w:rPr>
        <w:t xml:space="preserve"> the five capital city metro markets — Sydney, Melbourne, Brisbane, Perth and Adelaide.</w:t>
      </w:r>
    </w:p>
    <w:p>
      <w:pPr>
        <w:pStyle w:val="ListBullet"/>
        <w:spacing w:after="60"/>
      </w:pPr>
      <w:r>
        <w:rPr>
          <w:rFonts w:ascii="Arial" w:hAnsi="Arial"/>
          <w:b/>
          <w:i w:val="0"/>
          <w:color w:val="171717"/>
          <w:sz w:val="20"/>
        </w:rPr>
        <w:t>Asset classes:</w:t>
      </w:r>
      <w:r>
        <w:rPr>
          <w:rFonts w:ascii="Arial" w:hAnsi="Arial"/>
          <w:b w:val="0"/>
          <w:i w:val="0"/>
          <w:color w:val="374151"/>
          <w:sz w:val="20"/>
        </w:rPr>
        <w:t xml:space="preserve"> office, industrial and retail, plus commercial land and special-use assets.</w:t>
      </w:r>
    </w:p>
    <w:p>
      <w:pPr>
        <w:pStyle w:val="ListBullet"/>
        <w:spacing w:after="60"/>
      </w:pPr>
      <w:r>
        <w:rPr>
          <w:rFonts w:ascii="Arial" w:hAnsi="Arial"/>
          <w:b/>
          <w:i w:val="0"/>
          <w:color w:val="171717"/>
          <w:sz w:val="20"/>
        </w:rPr>
        <w:t>Refresh:</w:t>
      </w:r>
      <w:r>
        <w:rPr>
          <w:rFonts w:ascii="Arial" w:hAnsi="Arial"/>
          <w:b w:val="0"/>
          <w:i w:val="0"/>
          <w:color w:val="374151"/>
          <w:sz w:val="20"/>
        </w:rPr>
        <w:t xml:space="preserve"> weekly through to quarterly, depending on the dataset and its source. Sales and some lease records are gated by the recorded date at the titles office, so the data is not real-time.</w:t>
      </w:r>
    </w:p>
    <w:p>
      <w:pPr>
        <w:pStyle w:val="ListBullet"/>
        <w:spacing w:after="60"/>
      </w:pPr>
      <w:r>
        <w:rPr>
          <w:rFonts w:ascii="Arial" w:hAnsi="Arial"/>
          <w:b/>
          <w:i w:val="0"/>
          <w:color w:val="171717"/>
          <w:sz w:val="20"/>
        </w:rPr>
        <w:t>Delivery options:</w:t>
      </w:r>
      <w:r>
        <w:rPr>
          <w:rFonts w:ascii="Arial" w:hAnsi="Arial"/>
          <w:b w:val="0"/>
          <w:i w:val="0"/>
          <w:color w:val="374151"/>
          <w:sz w:val="20"/>
        </w:rPr>
        <w:t xml:space="preserve"> Arealytics Pro, REST API, bulk CSV export or a direct database connection. Part B asks which combination you need.</w:t>
      </w:r>
    </w:p>
    <w:p>
      <w:pPr>
        <w:pStyle w:val="Heading2"/>
        <w:keepNext/>
        <w:spacing w:before="200" w:after="120"/>
      </w:pPr>
      <w:r>
        <w:rPr>
          <w:rFonts w:ascii="Arial" w:hAnsi="Arial"/>
          <w:b/>
          <w:i w:val="0"/>
          <w:color w:val="171717"/>
          <w:sz w:val="23"/>
        </w:rPr>
        <w:t>5. Typical use cases</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4762"/>
        <w:gridCol w:w="2835"/>
        <w:gridCol w:w="1757"/>
      </w:tblGrid>
      <w:tr>
        <w:trPr>
          <w:cantSplit/>
          <w:tblHeader/>
        </w:trPr>
        <w:tc>
          <w:tcPr>
            <w:tcW w:type="dxa" w:w="4762"/>
            <w:shd w:val="clear" w:color="auto" w:fill="2350C0"/>
          </w:tcPr>
          <w:p>
            <w:pPr>
              <w:spacing w:after="0"/>
            </w:pPr>
            <w:r>
              <w:rPr>
                <w:rFonts w:ascii="Arial" w:hAnsi="Arial"/>
                <w:b/>
                <w:i w:val="0"/>
                <w:color w:val="FFFFFF"/>
                <w:sz w:val="18"/>
              </w:rPr>
              <w:t>Use case</w:t>
            </w:r>
          </w:p>
        </w:tc>
        <w:tc>
          <w:tcPr>
            <w:tcW w:type="dxa" w:w="2835"/>
            <w:shd w:val="clear" w:color="auto" w:fill="2350C0"/>
          </w:tcPr>
          <w:p>
            <w:pPr>
              <w:spacing w:after="0"/>
            </w:pPr>
            <w:r>
              <w:rPr>
                <w:rFonts w:ascii="Arial" w:hAnsi="Arial"/>
                <w:b/>
                <w:i w:val="0"/>
                <w:color w:val="FFFFFF"/>
                <w:sz w:val="18"/>
              </w:rPr>
              <w:t>Typical datasets</w:t>
            </w:r>
          </w:p>
        </w:tc>
        <w:tc>
          <w:tcPr>
            <w:tcW w:type="dxa" w:w="1757"/>
            <w:shd w:val="clear" w:color="auto" w:fill="2350C0"/>
          </w:tcPr>
          <w:p>
            <w:pPr>
              <w:spacing w:after="0"/>
            </w:pPr>
            <w:r>
              <w:rPr>
                <w:rFonts w:ascii="Arial" w:hAnsi="Arial"/>
                <w:b/>
                <w:i w:val="0"/>
                <w:color w:val="FFFFFF"/>
                <w:sz w:val="18"/>
              </w:rPr>
              <w:t>Tier</w:t>
            </w:r>
          </w:p>
        </w:tc>
      </w:tr>
      <w:tr>
        <w:trPr>
          <w:cantSplit/>
        </w:trPr>
        <w:tc>
          <w:tcPr>
            <w:tcW w:type="dxa" w:w="4762"/>
          </w:tcPr>
          <w:p>
            <w:pPr>
              <w:spacing w:after="0"/>
            </w:pPr>
            <w:r>
              <w:rPr>
                <w:rFonts w:ascii="Arial" w:hAnsi="Arial"/>
                <w:b/>
                <w:i w:val="0"/>
                <w:color w:val="171717"/>
                <w:sz w:val="18"/>
              </w:rPr>
              <w:t>Internal research platform — building lookup, area selection, market statistics</w:t>
            </w:r>
          </w:p>
        </w:tc>
        <w:tc>
          <w:tcPr>
            <w:tcW w:type="dxa" w:w="2835"/>
          </w:tcPr>
          <w:p>
            <w:pPr>
              <w:spacing w:after="0"/>
            </w:pPr>
            <w:r>
              <w:rPr>
                <w:rFonts w:ascii="Arial" w:hAnsi="Arial"/>
                <w:b w:val="0"/>
                <w:i w:val="0"/>
                <w:color w:val="374151"/>
                <w:sz w:val="18"/>
              </w:rPr>
              <w:t>Property universe, Leases, Tenants</w:t>
            </w:r>
          </w:p>
        </w:tc>
        <w:tc>
          <w:tcPr>
            <w:tcW w:type="dxa" w:w="1757"/>
          </w:tcPr>
          <w:p>
            <w:pPr>
              <w:spacing w:after="0"/>
            </w:pPr>
            <w:r>
              <w:rPr>
                <w:rFonts w:ascii="Arial" w:hAnsi="Arial"/>
                <w:b w:val="0"/>
                <w:i w:val="0"/>
                <w:color w:val="374151"/>
                <w:sz w:val="18"/>
              </w:rPr>
              <w:t>Standard</w:t>
            </w:r>
          </w:p>
        </w:tc>
      </w:tr>
      <w:tr>
        <w:trPr>
          <w:cantSplit/>
        </w:trPr>
        <w:tc>
          <w:tcPr>
            <w:tcW w:type="dxa" w:w="4762"/>
            <w:shd w:val="clear" w:color="auto" w:fill="F5F7FA"/>
          </w:tcPr>
          <w:p>
            <w:pPr>
              <w:spacing w:after="0"/>
            </w:pPr>
            <w:r>
              <w:rPr>
                <w:rFonts w:ascii="Arial" w:hAnsi="Arial"/>
                <w:b/>
                <w:i w:val="0"/>
                <w:color w:val="171717"/>
                <w:sz w:val="18"/>
              </w:rPr>
              <w:t>Prospecting — identifying likely sellers or relocating tenants from expiry and ownership</w:t>
            </w:r>
          </w:p>
        </w:tc>
        <w:tc>
          <w:tcPr>
            <w:tcW w:type="dxa" w:w="2835"/>
            <w:shd w:val="clear" w:color="auto" w:fill="F5F7FA"/>
          </w:tcPr>
          <w:p>
            <w:pPr>
              <w:spacing w:after="0"/>
            </w:pPr>
            <w:r>
              <w:rPr>
                <w:rFonts w:ascii="Arial" w:hAnsi="Arial"/>
                <w:b w:val="0"/>
                <w:i w:val="0"/>
                <w:color w:val="374151"/>
                <w:sz w:val="18"/>
              </w:rPr>
              <w:t>Leases, Ownership, Tenants</w:t>
            </w:r>
          </w:p>
        </w:tc>
        <w:tc>
          <w:tcPr>
            <w:tcW w:type="dxa" w:w="1757"/>
            <w:shd w:val="clear" w:color="auto" w:fill="F5F7FA"/>
          </w:tcPr>
          <w:p>
            <w:pPr>
              <w:spacing w:after="0"/>
            </w:pPr>
            <w:r>
              <w:rPr>
                <w:rFonts w:ascii="Arial" w:hAnsi="Arial"/>
                <w:b w:val="0"/>
                <w:i w:val="0"/>
                <w:color w:val="374151"/>
                <w:sz w:val="18"/>
              </w:rPr>
              <w:t>Standard</w:t>
            </w:r>
          </w:p>
        </w:tc>
      </w:tr>
      <w:tr>
        <w:trPr>
          <w:cantSplit/>
        </w:trPr>
        <w:tc>
          <w:tcPr>
            <w:tcW w:type="dxa" w:w="4762"/>
          </w:tcPr>
          <w:p>
            <w:pPr>
              <w:spacing w:after="0"/>
            </w:pPr>
            <w:r>
              <w:rPr>
                <w:rFonts w:ascii="Arial" w:hAnsi="Arial"/>
                <w:b/>
                <w:i w:val="0"/>
                <w:color w:val="171717"/>
                <w:sz w:val="18"/>
              </w:rPr>
              <w:t>CRM enrichment — resolving duplicate or incomplete property, owner and tenant records</w:t>
            </w:r>
          </w:p>
        </w:tc>
        <w:tc>
          <w:tcPr>
            <w:tcW w:type="dxa" w:w="2835"/>
          </w:tcPr>
          <w:p>
            <w:pPr>
              <w:spacing w:after="0"/>
            </w:pPr>
            <w:r>
              <w:rPr>
                <w:rFonts w:ascii="Arial" w:hAnsi="Arial"/>
                <w:b w:val="0"/>
                <w:i w:val="0"/>
                <w:color w:val="374151"/>
                <w:sz w:val="18"/>
              </w:rPr>
              <w:t>Property universe, Ownership, Tenants</w:t>
            </w:r>
          </w:p>
        </w:tc>
        <w:tc>
          <w:tcPr>
            <w:tcW w:type="dxa" w:w="1757"/>
          </w:tcPr>
          <w:p>
            <w:pPr>
              <w:spacing w:after="0"/>
            </w:pPr>
            <w:r>
              <w:rPr>
                <w:rFonts w:ascii="Arial" w:hAnsi="Arial"/>
                <w:b w:val="0"/>
                <w:i w:val="0"/>
                <w:color w:val="374151"/>
                <w:sz w:val="18"/>
              </w:rPr>
              <w:t>Standard</w:t>
            </w:r>
          </w:p>
        </w:tc>
      </w:tr>
      <w:tr>
        <w:trPr>
          <w:cantSplit/>
        </w:trPr>
        <w:tc>
          <w:tcPr>
            <w:tcW w:type="dxa" w:w="4762"/>
            <w:shd w:val="clear" w:color="auto" w:fill="F5F7FA"/>
          </w:tcPr>
          <w:p>
            <w:pPr>
              <w:spacing w:after="0"/>
            </w:pPr>
            <w:r>
              <w:rPr>
                <w:rFonts w:ascii="Arial" w:hAnsi="Arial"/>
                <w:b/>
                <w:i w:val="0"/>
                <w:color w:val="171717"/>
                <w:sz w:val="18"/>
              </w:rPr>
              <w:t>Internal dashboards and reporting (e.g. Power BI)</w:t>
            </w:r>
          </w:p>
        </w:tc>
        <w:tc>
          <w:tcPr>
            <w:tcW w:type="dxa" w:w="2835"/>
            <w:shd w:val="clear" w:color="auto" w:fill="F5F7FA"/>
          </w:tcPr>
          <w:p>
            <w:pPr>
              <w:spacing w:after="0"/>
            </w:pPr>
            <w:r>
              <w:rPr>
                <w:rFonts w:ascii="Arial" w:hAnsi="Arial"/>
                <w:b w:val="0"/>
                <w:i w:val="0"/>
                <w:color w:val="374151"/>
                <w:sz w:val="18"/>
              </w:rPr>
              <w:t>Any, as licensed</w:t>
            </w:r>
          </w:p>
        </w:tc>
        <w:tc>
          <w:tcPr>
            <w:tcW w:type="dxa" w:w="1757"/>
            <w:shd w:val="clear" w:color="auto" w:fill="F5F7FA"/>
          </w:tcPr>
          <w:p>
            <w:pPr>
              <w:spacing w:after="0"/>
            </w:pPr>
            <w:r>
              <w:rPr>
                <w:rFonts w:ascii="Arial" w:hAnsi="Arial"/>
                <w:b w:val="0"/>
                <w:i w:val="0"/>
                <w:color w:val="374151"/>
                <w:sz w:val="18"/>
              </w:rPr>
              <w:t>Standard</w:t>
            </w:r>
          </w:p>
        </w:tc>
      </w:tr>
      <w:tr>
        <w:trPr>
          <w:cantSplit/>
        </w:trPr>
        <w:tc>
          <w:tcPr>
            <w:tcW w:type="dxa" w:w="4762"/>
          </w:tcPr>
          <w:p>
            <w:pPr>
              <w:spacing w:after="0"/>
            </w:pPr>
            <w:r>
              <w:rPr>
                <w:rFonts w:ascii="Arial" w:hAnsi="Arial"/>
                <w:b/>
                <w:i w:val="0"/>
                <w:color w:val="171717"/>
                <w:sz w:val="18"/>
              </w:rPr>
              <w:t>Client reports, valuations or a client-facing platform that includes Arealytics data</w:t>
            </w:r>
          </w:p>
        </w:tc>
        <w:tc>
          <w:tcPr>
            <w:tcW w:type="dxa" w:w="2835"/>
          </w:tcPr>
          <w:p>
            <w:pPr>
              <w:spacing w:after="0"/>
            </w:pPr>
            <w:r>
              <w:rPr>
                <w:rFonts w:ascii="Arial" w:hAnsi="Arial"/>
                <w:b w:val="0"/>
                <w:i w:val="0"/>
                <w:color w:val="374151"/>
                <w:sz w:val="18"/>
              </w:rPr>
              <w:t>Any, as licensed</w:t>
            </w:r>
          </w:p>
        </w:tc>
        <w:tc>
          <w:tcPr>
            <w:tcW w:type="dxa" w:w="1757"/>
          </w:tcPr>
          <w:p>
            <w:pPr>
              <w:spacing w:after="0"/>
            </w:pPr>
            <w:r>
              <w:rPr>
                <w:rFonts w:ascii="Arial" w:hAnsi="Arial"/>
                <w:b w:val="0"/>
                <w:i w:val="0"/>
                <w:color w:val="374151"/>
                <w:sz w:val="18"/>
              </w:rPr>
              <w:t>Distribution</w:t>
            </w:r>
          </w:p>
        </w:tc>
      </w:tr>
    </w:tbl>
    <w:p>
      <w:pPr>
        <w:spacing w:after="80"/>
      </w:pPr>
    </w:p>
    <w:p>
      <w:pPr>
        <w:pStyle w:val="Heading2"/>
        <w:keepNext/>
        <w:spacing w:before="200" w:after="120"/>
      </w:pPr>
      <w:r>
        <w:rPr>
          <w:rFonts w:ascii="Arial" w:hAnsi="Arial"/>
          <w:b/>
          <w:i w:val="0"/>
          <w:color w:val="171717"/>
          <w:sz w:val="23"/>
        </w:rPr>
        <w:t>6. Security and single sign-on</w:t>
      </w:r>
    </w:p>
    <w:p>
      <w:pPr>
        <w:pStyle w:val="ListBullet"/>
        <w:spacing w:after="60"/>
      </w:pPr>
      <w:r>
        <w:rPr>
          <w:rFonts w:ascii="Arial" w:hAnsi="Arial"/>
          <w:b/>
          <w:i w:val="0"/>
          <w:color w:val="171717"/>
          <w:sz w:val="20"/>
        </w:rPr>
        <w:t>API credentials.</w:t>
      </w:r>
      <w:r>
        <w:rPr>
          <w:rFonts w:ascii="Arial" w:hAnsi="Arial"/>
          <w:b w:val="0"/>
          <w:i w:val="0"/>
          <w:color w:val="374151"/>
          <w:sz w:val="20"/>
        </w:rPr>
        <w:t xml:space="preserve"> Arealytics issues API keys or tokens to your organisation. They are confidential: keep them with the personnel who need them, never share them with end clients, and tell us immediately if one may be compromised. We re-issue promptly.</w:t>
      </w:r>
    </w:p>
    <w:p>
      <w:pPr>
        <w:pStyle w:val="ListBullet"/>
        <w:spacing w:after="60"/>
      </w:pPr>
      <w:r>
        <w:rPr>
          <w:rFonts w:ascii="Arial" w:hAnsi="Arial"/>
          <w:b/>
          <w:i w:val="0"/>
          <w:color w:val="171717"/>
          <w:sz w:val="20"/>
        </w:rPr>
        <w:t>Single sign-on for Arealytics Pro.</w:t>
      </w:r>
      <w:r>
        <w:rPr>
          <w:rFonts w:ascii="Arial" w:hAnsi="Arial"/>
          <w:b w:val="0"/>
          <w:i w:val="0"/>
          <w:color w:val="374151"/>
          <w:sz w:val="20"/>
        </w:rPr>
        <w:t xml:space="preserve"> Your users can sign in to Arealytics Pro with their existing Microsoft work accounts through Microsoft Entra ID. Our </w:t>
      </w:r>
      <w:r>
        <w:rPr>
          <w:rFonts w:ascii="Arial" w:hAnsi="Arial"/>
          <w:b/>
          <w:i w:val="0"/>
          <w:color w:val="171717"/>
          <w:sz w:val="20"/>
        </w:rPr>
        <w:t>Microsoft Entra ID SSO setup guide</w:t>
      </w:r>
      <w:r>
        <w:rPr>
          <w:rFonts w:ascii="Arial" w:hAnsi="Arial"/>
          <w:b w:val="0"/>
          <w:i w:val="0"/>
          <w:color w:val="374151"/>
          <w:sz w:val="20"/>
        </w:rPr>
        <w:t xml:space="preserve"> walks your IT team through it.</w:t>
      </w:r>
    </w:p>
    <w:p>
      <w:pPr>
        <w:pStyle w:val="ListBullet"/>
        <w:spacing w:after="60"/>
      </w:pPr>
      <w:r>
        <w:rPr>
          <w:rFonts w:ascii="Arial" w:hAnsi="Arial"/>
          <w:b/>
          <w:i w:val="0"/>
          <w:color w:val="171717"/>
          <w:sz w:val="20"/>
        </w:rPr>
        <w:t>Your identity requirements.</w:t>
      </w:r>
      <w:r>
        <w:rPr>
          <w:rFonts w:ascii="Arial" w:hAnsi="Arial"/>
          <w:b w:val="0"/>
          <w:i w:val="0"/>
          <w:color w:val="374151"/>
          <w:sz w:val="20"/>
        </w:rPr>
        <w:t xml:space="preserve"> If your organisation needs API access to align with a particular identity provider or key-management process, tell us in Part B so we can confirm the approach in the technical session.</w:t>
      </w:r>
    </w:p>
    <w:p>
      <w:pPr>
        <w:pStyle w:val="ListBullet"/>
        <w:spacing w:after="60"/>
      </w:pPr>
      <w:r>
        <w:rPr>
          <w:rFonts w:ascii="Arial" w:hAnsi="Arial"/>
          <w:b/>
          <w:i w:val="0"/>
          <w:color w:val="171717"/>
          <w:sz w:val="20"/>
        </w:rPr>
        <w:t>Monitoring.</w:t>
      </w:r>
      <w:r>
        <w:rPr>
          <w:rFonts w:ascii="Arial" w:hAnsi="Arial"/>
          <w:b w:val="0"/>
          <w:i w:val="0"/>
          <w:color w:val="374151"/>
          <w:sz w:val="20"/>
        </w:rPr>
        <w:t xml:space="preserve"> Arealytics logs API calls for billing, security, capacity and compliance, and makes your usage records available on request.</w:t>
      </w:r>
    </w:p>
    <w:p>
      <w:pPr>
        <w:pStyle w:val="Heading2"/>
        <w:keepNext/>
        <w:spacing w:before="200" w:after="120"/>
      </w:pPr>
      <w:r>
        <w:rPr>
          <w:rFonts w:ascii="Arial" w:hAnsi="Arial"/>
          <w:b/>
          <w:i w:val="0"/>
          <w:color w:val="171717"/>
          <w:sz w:val="23"/>
        </w:rPr>
        <w:t>7. The API Terms at a glance</w:t>
      </w:r>
    </w:p>
    <w:p>
      <w:pPr>
        <w:spacing w:after="120" w:before="0" w:line="276" w:lineRule="auto"/>
      </w:pPr>
      <w:r>
        <w:rPr>
          <w:rFonts w:ascii="Arial" w:hAnsi="Arial"/>
          <w:b w:val="0"/>
          <w:i w:val="0"/>
          <w:color w:val="5E688A"/>
          <w:sz w:val="19"/>
        </w:rPr>
        <w:t>Your API access is governed by the Arealytics API Terms and Conditions and your API Order Form. The points below are the ones that most often shape an integration design. They are a summary only — the API Terms and your Order Form prevail.</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2041"/>
        <w:gridCol w:w="7314"/>
      </w:tblGrid>
      <w:tr>
        <w:trPr>
          <w:cantSplit/>
          <w:tblHeader/>
        </w:trPr>
        <w:tc>
          <w:tcPr>
            <w:tcW w:type="dxa" w:w="2041"/>
            <w:shd w:val="clear" w:color="auto" w:fill="2350C0"/>
          </w:tcPr>
          <w:p>
            <w:pPr>
              <w:spacing w:after="0"/>
            </w:pPr>
            <w:r>
              <w:rPr>
                <w:rFonts w:ascii="Arial" w:hAnsi="Arial"/>
                <w:b/>
                <w:i w:val="0"/>
                <w:color w:val="FFFFFF"/>
                <w:sz w:val="18"/>
              </w:rPr>
              <w:t>Topic</w:t>
            </w:r>
          </w:p>
        </w:tc>
        <w:tc>
          <w:tcPr>
            <w:tcW w:type="dxa" w:w="7313"/>
            <w:shd w:val="clear" w:color="auto" w:fill="2350C0"/>
          </w:tcPr>
          <w:p>
            <w:pPr>
              <w:spacing w:after="0"/>
            </w:pPr>
            <w:r>
              <w:rPr>
                <w:rFonts w:ascii="Arial" w:hAnsi="Arial"/>
                <w:b/>
                <w:i w:val="0"/>
                <w:color w:val="FFFFFF"/>
                <w:sz w:val="18"/>
              </w:rPr>
              <w:t>What it means in practice</w:t>
            </w:r>
          </w:p>
        </w:tc>
      </w:tr>
      <w:tr>
        <w:trPr>
          <w:cantSplit/>
        </w:trPr>
        <w:tc>
          <w:tcPr>
            <w:tcW w:type="dxa" w:w="2041"/>
          </w:tcPr>
          <w:p>
            <w:pPr>
              <w:spacing w:after="0"/>
            </w:pPr>
            <w:r>
              <w:rPr>
                <w:rFonts w:ascii="Arial" w:hAnsi="Arial"/>
                <w:b/>
                <w:i w:val="0"/>
                <w:color w:val="171717"/>
                <w:sz w:val="18"/>
              </w:rPr>
              <w:t>Fee</w:t>
            </w:r>
          </w:p>
        </w:tc>
        <w:tc>
          <w:tcPr>
            <w:tcW w:type="dxa" w:w="7313"/>
          </w:tcPr>
          <w:p>
            <w:pPr>
              <w:spacing w:after="0"/>
            </w:pPr>
            <w:r>
              <w:rPr>
                <w:rFonts w:ascii="Arial" w:hAnsi="Arial"/>
                <w:b w:val="0"/>
                <w:i w:val="0"/>
                <w:color w:val="374151"/>
                <w:sz w:val="18"/>
              </w:rPr>
              <w:t xml:space="preserve">A flat API fee for the term, not charged per call. Usage sits within a </w:t>
            </w:r>
            <w:r>
              <w:rPr>
                <w:rFonts w:ascii="Arial" w:hAnsi="Arial"/>
                <w:b/>
                <w:i w:val="0"/>
                <w:color w:val="171717"/>
                <w:sz w:val="18"/>
              </w:rPr>
              <w:t>Fair Use Ceiling</w:t>
            </w:r>
            <w:r>
              <w:rPr>
                <w:rFonts w:ascii="Arial" w:hAnsi="Arial"/>
                <w:b w:val="0"/>
                <w:i w:val="0"/>
                <w:color w:val="374151"/>
                <w:sz w:val="18"/>
              </w:rPr>
              <w:t xml:space="preserve"> set in your Order Form; if you approach it, we agree a revised ceiling with you rather than charging overage.</w:t>
            </w:r>
          </w:p>
        </w:tc>
      </w:tr>
      <w:tr>
        <w:trPr>
          <w:cantSplit/>
        </w:trPr>
        <w:tc>
          <w:tcPr>
            <w:tcW w:type="dxa" w:w="2041"/>
            <w:shd w:val="clear" w:color="auto" w:fill="F5F7FA"/>
          </w:tcPr>
          <w:p>
            <w:pPr>
              <w:spacing w:after="0"/>
            </w:pPr>
            <w:r>
              <w:rPr>
                <w:rFonts w:ascii="Arial" w:hAnsi="Arial"/>
                <w:b/>
                <w:i w:val="0"/>
                <w:color w:val="171717"/>
                <w:sz w:val="18"/>
              </w:rPr>
              <w:t>Storing data</w:t>
            </w:r>
          </w:p>
        </w:tc>
        <w:tc>
          <w:tcPr>
            <w:tcW w:type="dxa" w:w="7313"/>
            <w:shd w:val="clear" w:color="auto" w:fill="F5F7FA"/>
          </w:tcPr>
          <w:p>
            <w:pPr>
              <w:spacing w:after="0"/>
            </w:pPr>
            <w:r>
              <w:rPr>
                <w:rFonts w:ascii="Arial" w:hAnsi="Arial"/>
                <w:b w:val="0"/>
                <w:i w:val="0"/>
                <w:color w:val="374151"/>
                <w:sz w:val="18"/>
              </w:rPr>
              <w:t xml:space="preserve">API data may be held in your own databases or warehouse for up to </w:t>
            </w:r>
            <w:r>
              <w:rPr>
                <w:rFonts w:ascii="Arial" w:hAnsi="Arial"/>
                <w:b/>
                <w:i w:val="0"/>
                <w:color w:val="171717"/>
                <w:sz w:val="18"/>
              </w:rPr>
              <w:t>30 days</w:t>
            </w:r>
            <w:r>
              <w:rPr>
                <w:rFonts w:ascii="Arial" w:hAnsi="Arial"/>
                <w:b w:val="0"/>
                <w:i w:val="0"/>
                <w:color w:val="374151"/>
                <w:sz w:val="18"/>
              </w:rPr>
              <w:t xml:space="preserve"> from retrieval, then refreshed or deleted. Building a historical archive or time series needs to be expressly permitted in your Order Form — tell us in Part B if you need history.</w:t>
            </w:r>
          </w:p>
        </w:tc>
      </w:tr>
      <w:tr>
        <w:trPr>
          <w:cantSplit/>
        </w:trPr>
        <w:tc>
          <w:tcPr>
            <w:tcW w:type="dxa" w:w="2041"/>
          </w:tcPr>
          <w:p>
            <w:pPr>
              <w:spacing w:after="0"/>
            </w:pPr>
            <w:r>
              <w:rPr>
                <w:rFonts w:ascii="Arial" w:hAnsi="Arial"/>
                <w:b/>
                <w:i w:val="0"/>
                <w:color w:val="171717"/>
                <w:sz w:val="18"/>
              </w:rPr>
              <w:t>Fixed reports</w:t>
            </w:r>
          </w:p>
        </w:tc>
        <w:tc>
          <w:tcPr>
            <w:tcW w:type="dxa" w:w="7313"/>
          </w:tcPr>
          <w:p>
            <w:pPr>
              <w:spacing w:after="0"/>
            </w:pPr>
            <w:r>
              <w:rPr>
                <w:rFonts w:ascii="Arial" w:hAnsi="Arial"/>
                <w:b w:val="0"/>
                <w:i w:val="0"/>
                <w:color w:val="374151"/>
                <w:sz w:val="18"/>
              </w:rPr>
              <w:t>Reports, proposals and presentations in a fixed format can be kept. They must not be used as a source to re-extract data.</w:t>
            </w:r>
          </w:p>
        </w:tc>
      </w:tr>
      <w:tr>
        <w:trPr>
          <w:cantSplit/>
        </w:trPr>
        <w:tc>
          <w:tcPr>
            <w:tcW w:type="dxa" w:w="2041"/>
            <w:shd w:val="clear" w:color="auto" w:fill="F5F7FA"/>
          </w:tcPr>
          <w:p>
            <w:pPr>
              <w:spacing w:after="0"/>
            </w:pPr>
            <w:r>
              <w:rPr>
                <w:rFonts w:ascii="Arial" w:hAnsi="Arial"/>
                <w:b/>
                <w:i w:val="0"/>
                <w:color w:val="171717"/>
                <w:sz w:val="18"/>
              </w:rPr>
              <w:t>Attribution</w:t>
            </w:r>
          </w:p>
        </w:tc>
        <w:tc>
          <w:tcPr>
            <w:tcW w:type="dxa" w:w="7313"/>
            <w:shd w:val="clear" w:color="auto" w:fill="F5F7FA"/>
          </w:tcPr>
          <w:p>
            <w:pPr>
              <w:spacing w:after="0"/>
            </w:pPr>
            <w:r>
              <w:rPr>
                <w:rFonts w:ascii="Arial" w:hAnsi="Arial"/>
                <w:b w:val="0"/>
                <w:i w:val="0"/>
                <w:color w:val="374151"/>
                <w:sz w:val="18"/>
              </w:rPr>
              <w:t>Arealytics must be credited wherever API data is displayed, using the attribution and disclaimers set out in your Order Form.</w:t>
            </w:r>
          </w:p>
        </w:tc>
      </w:tr>
      <w:tr>
        <w:trPr>
          <w:cantSplit/>
        </w:trPr>
        <w:tc>
          <w:tcPr>
            <w:tcW w:type="dxa" w:w="2041"/>
          </w:tcPr>
          <w:p>
            <w:pPr>
              <w:spacing w:after="0"/>
            </w:pPr>
            <w:r>
              <w:rPr>
                <w:rFonts w:ascii="Arial" w:hAnsi="Arial"/>
                <w:b/>
                <w:i w:val="0"/>
                <w:color w:val="171717"/>
                <w:sz w:val="18"/>
              </w:rPr>
              <w:t>AI and machine learning</w:t>
            </w:r>
          </w:p>
        </w:tc>
        <w:tc>
          <w:tcPr>
            <w:tcW w:type="dxa" w:w="7313"/>
          </w:tcPr>
          <w:p>
            <w:pPr>
              <w:spacing w:after="0"/>
            </w:pPr>
            <w:r>
              <w:rPr>
                <w:rFonts w:ascii="Arial" w:hAnsi="Arial"/>
                <w:b w:val="0"/>
                <w:i w:val="0"/>
                <w:color w:val="374151"/>
                <w:sz w:val="18"/>
              </w:rPr>
              <w:t>API data must not be put into an AI system, or used to train, ground or index one, without Arealytics' written approval.</w:t>
            </w:r>
          </w:p>
        </w:tc>
      </w:tr>
      <w:tr>
        <w:trPr>
          <w:cantSplit/>
        </w:trPr>
        <w:tc>
          <w:tcPr>
            <w:tcW w:type="dxa" w:w="2041"/>
            <w:shd w:val="clear" w:color="auto" w:fill="F5F7FA"/>
          </w:tcPr>
          <w:p>
            <w:pPr>
              <w:spacing w:after="0"/>
            </w:pPr>
            <w:r>
              <w:rPr>
                <w:rFonts w:ascii="Arial" w:hAnsi="Arial"/>
                <w:b/>
                <w:i w:val="0"/>
                <w:color w:val="171717"/>
                <w:sz w:val="18"/>
              </w:rPr>
              <w:t>Availability</w:t>
            </w:r>
          </w:p>
        </w:tc>
        <w:tc>
          <w:tcPr>
            <w:tcW w:type="dxa" w:w="7313"/>
            <w:shd w:val="clear" w:color="auto" w:fill="F5F7FA"/>
          </w:tcPr>
          <w:p>
            <w:pPr>
              <w:spacing w:after="0"/>
            </w:pPr>
            <w:r>
              <w:rPr>
                <w:rFonts w:ascii="Arial" w:hAnsi="Arial"/>
                <w:b w:val="0"/>
                <w:i w:val="0"/>
                <w:color w:val="374151"/>
                <w:sz w:val="18"/>
              </w:rPr>
              <w:t xml:space="preserve">We aim for </w:t>
            </w:r>
            <w:r>
              <w:rPr>
                <w:rFonts w:ascii="Arial" w:hAnsi="Arial"/>
                <w:b/>
                <w:i w:val="0"/>
                <w:color w:val="171717"/>
                <w:sz w:val="18"/>
              </w:rPr>
              <w:t>99.5%</w:t>
            </w:r>
            <w:r>
              <w:rPr>
                <w:rFonts w:ascii="Arial" w:hAnsi="Arial"/>
                <w:b w:val="0"/>
                <w:i w:val="0"/>
                <w:color w:val="374151"/>
                <w:sz w:val="18"/>
              </w:rPr>
              <w:t xml:space="preserve"> monthly availability, with service credits applied automatically if it falls short.</w:t>
            </w:r>
          </w:p>
        </w:tc>
      </w:tr>
      <w:tr>
        <w:trPr>
          <w:cantSplit/>
        </w:trPr>
        <w:tc>
          <w:tcPr>
            <w:tcW w:type="dxa" w:w="2041"/>
          </w:tcPr>
          <w:p>
            <w:pPr>
              <w:spacing w:after="0"/>
            </w:pPr>
            <w:r>
              <w:rPr>
                <w:rFonts w:ascii="Arial" w:hAnsi="Arial"/>
                <w:b/>
                <w:i w:val="0"/>
                <w:color w:val="171717"/>
                <w:sz w:val="18"/>
              </w:rPr>
              <w:t>Changes</w:t>
            </w:r>
          </w:p>
        </w:tc>
        <w:tc>
          <w:tcPr>
            <w:tcW w:type="dxa" w:w="7313"/>
          </w:tcPr>
          <w:p>
            <w:pPr>
              <w:spacing w:after="0"/>
            </w:pPr>
            <w:r>
              <w:rPr>
                <w:rFonts w:ascii="Arial" w:hAnsi="Arial"/>
                <w:b w:val="0"/>
                <w:i w:val="0"/>
                <w:color w:val="374151"/>
                <w:sz w:val="18"/>
              </w:rPr>
              <w:t xml:space="preserve">At least </w:t>
            </w:r>
            <w:r>
              <w:rPr>
                <w:rFonts w:ascii="Arial" w:hAnsi="Arial"/>
                <w:b/>
                <w:i w:val="0"/>
                <w:color w:val="171717"/>
                <w:sz w:val="18"/>
              </w:rPr>
              <w:t>90 days'</w:t>
            </w:r>
            <w:r>
              <w:rPr>
                <w:rFonts w:ascii="Arial" w:hAnsi="Arial"/>
                <w:b w:val="0"/>
                <w:i w:val="0"/>
                <w:color w:val="374151"/>
                <w:sz w:val="18"/>
              </w:rPr>
              <w:t xml:space="preserve"> notice before removing an endpoint or field, and each major API version is supported for at least 12 months after its successor is released.</w:t>
            </w:r>
          </w:p>
        </w:tc>
      </w:tr>
      <w:tr>
        <w:trPr>
          <w:cantSplit/>
        </w:trPr>
        <w:tc>
          <w:tcPr>
            <w:tcW w:type="dxa" w:w="2041"/>
            <w:shd w:val="clear" w:color="auto" w:fill="F5F7FA"/>
          </w:tcPr>
          <w:p>
            <w:pPr>
              <w:spacing w:after="0"/>
            </w:pPr>
            <w:r>
              <w:rPr>
                <w:rFonts w:ascii="Arial" w:hAnsi="Arial"/>
                <w:b/>
                <w:i w:val="0"/>
                <w:color w:val="171717"/>
                <w:sz w:val="18"/>
              </w:rPr>
              <w:t>Not permitted</w:t>
            </w:r>
          </w:p>
        </w:tc>
        <w:tc>
          <w:tcPr>
            <w:tcW w:type="dxa" w:w="7313"/>
            <w:shd w:val="clear" w:color="auto" w:fill="F5F7FA"/>
          </w:tcPr>
          <w:p>
            <w:pPr>
              <w:spacing w:after="0"/>
            </w:pPr>
            <w:r>
              <w:rPr>
                <w:rFonts w:ascii="Arial" w:hAnsi="Arial"/>
                <w:b w:val="0"/>
                <w:i w:val="0"/>
                <w:color w:val="374151"/>
                <w:sz w:val="18"/>
              </w:rPr>
              <w:t>Reselling or redistributing raw data, building a competing data product, or systematically copying the Arealytics database.</w:t>
            </w:r>
          </w:p>
        </w:tc>
      </w:tr>
    </w:tbl>
    <w:p>
      <w:pPr>
        <w:spacing w:after="80"/>
      </w:pPr>
    </w:p>
    <w:p>
      <w:r>
        <w:br w:type="page"/>
      </w:r>
    </w:p>
    <w:p>
      <w:pPr>
        <w:pStyle w:val="Heading1"/>
        <w:keepNext/>
        <w:spacing w:before="320" w:after="120"/>
      </w:pPr>
      <w:r>
        <w:rPr>
          <w:rFonts w:ascii="Arial" w:hAnsi="Arial"/>
          <w:b/>
          <w:i w:val="0"/>
          <w:color w:val="2350C0"/>
          <w:sz w:val="30"/>
        </w:rPr>
        <w:t>Part B — Your API requirements brief</w:t>
      </w:r>
    </w:p>
    <w:p>
      <w:pPr>
        <w:spacing w:after="120" w:before="0" w:line="276" w:lineRule="auto"/>
      </w:pPr>
      <w:r>
        <w:rPr>
          <w:rFonts w:ascii="Arial" w:hAnsi="Arial"/>
          <w:b w:val="0"/>
          <w:i w:val="0"/>
          <w:color w:val="5E688A"/>
          <w:sz w:val="20"/>
        </w:rPr>
        <w:t>Complete each section as fully as you can. Where you're not sure yet, say so — the technical working session is the place to settle it.</w:t>
      </w:r>
    </w:p>
    <w:p>
      <w:pPr>
        <w:pStyle w:val="Heading2"/>
        <w:keepNext/>
        <w:spacing w:before="200" w:after="120"/>
      </w:pPr>
      <w:r>
        <w:rPr>
          <w:rFonts w:ascii="Arial" w:hAnsi="Arial"/>
          <w:b/>
          <w:i w:val="0"/>
          <w:color w:val="171717"/>
          <w:sz w:val="23"/>
        </w:rPr>
        <w:t>1. Your organisation</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3402"/>
        <w:gridCol w:w="5953"/>
      </w:tblGrid>
      <w:tr>
        <w:trPr>
          <w:cantSplit/>
          <w:tblHeader/>
        </w:trPr>
        <w:tc>
          <w:tcPr>
            <w:tcW w:type="dxa" w:w="3402"/>
            <w:shd w:val="clear" w:color="auto" w:fill="2350C0"/>
          </w:tcPr>
          <w:p>
            <w:pPr>
              <w:spacing w:after="0"/>
            </w:pPr>
            <w:r>
              <w:rPr>
                <w:rFonts w:ascii="Arial" w:hAnsi="Arial"/>
                <w:b/>
                <w:i w:val="0"/>
                <w:color w:val="FFFFFF"/>
                <w:sz w:val="18"/>
              </w:rPr>
            </w:r>
          </w:p>
        </w:tc>
        <w:tc>
          <w:tcPr>
            <w:tcW w:type="dxa" w:w="5953"/>
            <w:shd w:val="clear" w:color="auto" w:fill="2350C0"/>
          </w:tcPr>
          <w:p>
            <w:pPr>
              <w:spacing w:after="0"/>
            </w:pPr>
            <w:r>
              <w:rPr>
                <w:rFonts w:ascii="Arial" w:hAnsi="Arial"/>
                <w:b/>
                <w:i w:val="0"/>
                <w:color w:val="FFFFFF"/>
                <w:sz w:val="18"/>
              </w:rPr>
              <w:t>Details</w:t>
            </w:r>
          </w:p>
        </w:tc>
      </w:tr>
      <w:tr>
        <w:trPr>
          <w:cantSplit/>
        </w:trPr>
        <w:tc>
          <w:tcPr>
            <w:tcW w:type="dxa" w:w="3402"/>
          </w:tcPr>
          <w:p>
            <w:pPr>
              <w:spacing w:after="0"/>
            </w:pPr>
            <w:r>
              <w:rPr>
                <w:rFonts w:ascii="Arial" w:hAnsi="Arial"/>
                <w:b/>
                <w:i w:val="0"/>
                <w:color w:val="171717"/>
                <w:sz w:val="18"/>
              </w:rPr>
              <w:t>Organisation</w:t>
            </w:r>
          </w:p>
        </w:tc>
        <w:tc>
          <w:tcPr>
            <w:tcW w:type="dxa" w:w="5953"/>
          </w:tcPr>
          <w:p>
            <w:pPr>
              <w:spacing w:after="0"/>
            </w:pPr>
          </w:p>
        </w:tc>
      </w:tr>
      <w:tr>
        <w:trPr>
          <w:cantSplit/>
        </w:trPr>
        <w:tc>
          <w:tcPr>
            <w:tcW w:type="dxa" w:w="3402"/>
            <w:shd w:val="clear" w:color="auto" w:fill="F5F7FA"/>
          </w:tcPr>
          <w:p>
            <w:pPr>
              <w:spacing w:after="0"/>
            </w:pPr>
            <w:r>
              <w:rPr>
                <w:rFonts w:ascii="Arial" w:hAnsi="Arial"/>
                <w:b/>
                <w:i w:val="0"/>
                <w:color w:val="171717"/>
                <w:sz w:val="18"/>
              </w:rPr>
              <w:t>Business lines that will use the data</w:t>
            </w:r>
          </w:p>
        </w:tc>
        <w:tc>
          <w:tcPr>
            <w:tcW w:type="dxa" w:w="5953"/>
            <w:shd w:val="clear" w:color="auto" w:fill="F5F7FA"/>
          </w:tcPr>
          <w:p>
            <w:pPr>
              <w:spacing w:after="0"/>
            </w:pPr>
          </w:p>
        </w:tc>
      </w:tr>
      <w:tr>
        <w:trPr>
          <w:cantSplit/>
        </w:trPr>
        <w:tc>
          <w:tcPr>
            <w:tcW w:type="dxa" w:w="3402"/>
          </w:tcPr>
          <w:p>
            <w:pPr>
              <w:spacing w:after="0"/>
            </w:pPr>
            <w:r>
              <w:rPr>
                <w:rFonts w:ascii="Arial" w:hAnsi="Arial"/>
                <w:b/>
                <w:i w:val="0"/>
                <w:color w:val="171717"/>
                <w:sz w:val="18"/>
              </w:rPr>
              <w:t>Primary contact (name, role)</w:t>
            </w:r>
          </w:p>
        </w:tc>
        <w:tc>
          <w:tcPr>
            <w:tcW w:type="dxa" w:w="5953"/>
          </w:tcPr>
          <w:p>
            <w:pPr>
              <w:spacing w:after="0"/>
            </w:pPr>
          </w:p>
        </w:tc>
      </w:tr>
      <w:tr>
        <w:trPr>
          <w:cantSplit/>
        </w:trPr>
        <w:tc>
          <w:tcPr>
            <w:tcW w:type="dxa" w:w="3402"/>
            <w:shd w:val="clear" w:color="auto" w:fill="F5F7FA"/>
          </w:tcPr>
          <w:p>
            <w:pPr>
              <w:spacing w:after="0"/>
            </w:pPr>
            <w:r>
              <w:rPr>
                <w:rFonts w:ascii="Arial" w:hAnsi="Arial"/>
                <w:b/>
                <w:i w:val="0"/>
                <w:color w:val="171717"/>
                <w:sz w:val="18"/>
              </w:rPr>
              <w:t>Email and phone</w:t>
            </w:r>
          </w:p>
        </w:tc>
        <w:tc>
          <w:tcPr>
            <w:tcW w:type="dxa" w:w="5953"/>
            <w:shd w:val="clear" w:color="auto" w:fill="F5F7FA"/>
          </w:tcPr>
          <w:p>
            <w:pPr>
              <w:spacing w:after="0"/>
            </w:pPr>
          </w:p>
        </w:tc>
      </w:tr>
      <w:tr>
        <w:trPr>
          <w:cantSplit/>
        </w:trPr>
        <w:tc>
          <w:tcPr>
            <w:tcW w:type="dxa" w:w="3402"/>
          </w:tcPr>
          <w:p>
            <w:pPr>
              <w:spacing w:after="0"/>
            </w:pPr>
            <w:r>
              <w:rPr>
                <w:rFonts w:ascii="Arial" w:hAnsi="Arial"/>
                <w:b/>
                <w:i w:val="0"/>
                <w:color w:val="171717"/>
                <w:sz w:val="18"/>
              </w:rPr>
              <w:t>Technical / IT contact</w:t>
            </w:r>
          </w:p>
        </w:tc>
        <w:tc>
          <w:tcPr>
            <w:tcW w:type="dxa" w:w="5953"/>
          </w:tcPr>
          <w:p>
            <w:pPr>
              <w:spacing w:after="0"/>
            </w:pPr>
          </w:p>
        </w:tc>
      </w:tr>
      <w:tr>
        <w:trPr>
          <w:cantSplit/>
        </w:trPr>
        <w:tc>
          <w:tcPr>
            <w:tcW w:type="dxa" w:w="3402"/>
            <w:shd w:val="clear" w:color="auto" w:fill="F5F7FA"/>
          </w:tcPr>
          <w:p>
            <w:pPr>
              <w:spacing w:after="0"/>
            </w:pPr>
            <w:r>
              <w:rPr>
                <w:rFonts w:ascii="Arial" w:hAnsi="Arial"/>
                <w:b/>
                <w:i w:val="0"/>
                <w:color w:val="171717"/>
                <w:sz w:val="18"/>
              </w:rPr>
              <w:t>Target go-live date</w:t>
            </w:r>
          </w:p>
        </w:tc>
        <w:tc>
          <w:tcPr>
            <w:tcW w:type="dxa" w:w="5953"/>
            <w:shd w:val="clear" w:color="auto" w:fill="F5F7FA"/>
          </w:tcPr>
          <w:p>
            <w:pPr>
              <w:spacing w:after="0"/>
            </w:pPr>
          </w:p>
        </w:tc>
      </w:tr>
    </w:tbl>
    <w:p>
      <w:pPr>
        <w:spacing w:after="80"/>
      </w:pPr>
    </w:p>
    <w:p>
      <w:pPr>
        <w:pStyle w:val="Heading2"/>
        <w:keepNext/>
        <w:spacing w:before="200" w:after="120"/>
      </w:pPr>
      <w:r>
        <w:rPr>
          <w:rFonts w:ascii="Arial" w:hAnsi="Arial"/>
          <w:b/>
          <w:i w:val="0"/>
          <w:color w:val="171717"/>
          <w:sz w:val="23"/>
        </w:rPr>
        <w:t>2. How you will use the data</w:t>
      </w:r>
    </w:p>
    <w:p>
      <w:pPr>
        <w:spacing w:after="120" w:before="0" w:line="276" w:lineRule="auto"/>
      </w:pPr>
      <w:r>
        <w:rPr>
          <w:rFonts w:ascii="Arial" w:hAnsi="Arial"/>
          <w:b w:val="0"/>
          <w:i w:val="0"/>
          <w:color w:val="5E688A"/>
          <w:sz w:val="19"/>
        </w:rPr>
        <w:t>List each platform, application or process the data will support. Tell us whether its outputs stay internal or reach your clients.</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2154"/>
        <w:gridCol w:w="2381"/>
        <w:gridCol w:w="3061"/>
        <w:gridCol w:w="1757"/>
      </w:tblGrid>
      <w:tr>
        <w:trPr>
          <w:cantSplit/>
          <w:tblHeader/>
        </w:trPr>
        <w:tc>
          <w:tcPr>
            <w:tcW w:type="dxa" w:w="2154"/>
            <w:shd w:val="clear" w:color="auto" w:fill="2350C0"/>
          </w:tcPr>
          <w:p>
            <w:pPr>
              <w:spacing w:after="0"/>
            </w:pPr>
            <w:r>
              <w:rPr>
                <w:rFonts w:ascii="Arial" w:hAnsi="Arial"/>
                <w:b/>
                <w:i w:val="0"/>
                <w:color w:val="FFFFFF"/>
                <w:sz w:val="18"/>
              </w:rPr>
              <w:t>Platform or process</w:t>
            </w:r>
          </w:p>
        </w:tc>
        <w:tc>
          <w:tcPr>
            <w:tcW w:type="dxa" w:w="2381"/>
            <w:shd w:val="clear" w:color="auto" w:fill="2350C0"/>
          </w:tcPr>
          <w:p>
            <w:pPr>
              <w:spacing w:after="0"/>
            </w:pPr>
            <w:r>
              <w:rPr>
                <w:rFonts w:ascii="Arial" w:hAnsi="Arial"/>
                <w:b/>
                <w:i w:val="0"/>
                <w:color w:val="FFFFFF"/>
                <w:sz w:val="18"/>
              </w:rPr>
              <w:t>Current role</w:t>
            </w:r>
          </w:p>
        </w:tc>
        <w:tc>
          <w:tcPr>
            <w:tcW w:type="dxa" w:w="3061"/>
            <w:shd w:val="clear" w:color="auto" w:fill="2350C0"/>
          </w:tcPr>
          <w:p>
            <w:pPr>
              <w:spacing w:after="0"/>
            </w:pPr>
            <w:r>
              <w:rPr>
                <w:rFonts w:ascii="Arial" w:hAnsi="Arial"/>
                <w:b/>
                <w:i w:val="0"/>
                <w:color w:val="FFFFFF"/>
                <w:sz w:val="18"/>
              </w:rPr>
              <w:t>How Arealytics data would be used</w:t>
            </w:r>
          </w:p>
        </w:tc>
        <w:tc>
          <w:tcPr>
            <w:tcW w:type="dxa" w:w="1757"/>
            <w:shd w:val="clear" w:color="auto" w:fill="2350C0"/>
          </w:tcPr>
          <w:p>
            <w:pPr>
              <w:spacing w:after="0"/>
            </w:pPr>
            <w:r>
              <w:rPr>
                <w:rFonts w:ascii="Arial" w:hAnsi="Arial"/>
                <w:b/>
                <w:i w:val="0"/>
                <w:color w:val="FFFFFF"/>
                <w:sz w:val="18"/>
              </w:rPr>
              <w:t>Internal or client-facing?</w:t>
            </w:r>
          </w:p>
        </w:tc>
      </w:tr>
      <w:tr>
        <w:trPr>
          <w:cantSplit/>
        </w:trPr>
        <w:tc>
          <w:tcPr>
            <w:tcW w:type="dxa" w:w="2154"/>
          </w:tcPr>
          <w:p>
            <w:pPr>
              <w:spacing w:after="0"/>
            </w:pPr>
            <w:r>
              <w:rPr>
                <w:rFonts w:ascii="Arial" w:hAnsi="Arial"/>
                <w:b/>
                <w:i w:val="0"/>
                <w:color w:val="171717"/>
                <w:sz w:val="18"/>
              </w:rPr>
              <w:t>Example: Research platform</w:t>
            </w:r>
          </w:p>
        </w:tc>
        <w:tc>
          <w:tcPr>
            <w:tcW w:type="dxa" w:w="2381"/>
          </w:tcPr>
          <w:p>
            <w:pPr>
              <w:spacing w:after="0"/>
            </w:pPr>
            <w:r>
              <w:rPr>
                <w:rFonts w:ascii="Arial" w:hAnsi="Arial"/>
                <w:b w:val="0"/>
                <w:i w:val="0"/>
                <w:color w:val="374151"/>
                <w:sz w:val="18"/>
              </w:rPr>
              <w:t>Internal market research with building lookup and map-based area selection</w:t>
            </w:r>
          </w:p>
        </w:tc>
        <w:tc>
          <w:tcPr>
            <w:tcW w:type="dxa" w:w="3061"/>
          </w:tcPr>
          <w:p>
            <w:pPr>
              <w:spacing w:after="0"/>
            </w:pPr>
            <w:r>
              <w:rPr>
                <w:rFonts w:ascii="Arial" w:hAnsi="Arial"/>
                <w:b w:val="0"/>
                <w:i w:val="0"/>
                <w:color w:val="374151"/>
                <w:sz w:val="18"/>
              </w:rPr>
              <w:t>Building characteristics, tenants, lease expiries and ownership</w:t>
            </w:r>
          </w:p>
        </w:tc>
        <w:tc>
          <w:tcPr>
            <w:tcW w:type="dxa" w:w="1757"/>
          </w:tcPr>
          <w:p>
            <w:pPr>
              <w:spacing w:after="0"/>
            </w:pPr>
            <w:r>
              <w:rPr>
                <w:rFonts w:ascii="Arial" w:hAnsi="Arial"/>
                <w:b w:val="0"/>
                <w:i w:val="0"/>
                <w:color w:val="374151"/>
                <w:sz w:val="18"/>
              </w:rPr>
              <w:t>Internal</w:t>
            </w:r>
          </w:p>
        </w:tc>
      </w:tr>
      <w:tr>
        <w:trPr>
          <w:cantSplit/>
        </w:trPr>
        <w:tc>
          <w:tcPr>
            <w:tcW w:type="dxa" w:w="2154"/>
          </w:tcPr>
          <w:p/>
        </w:tc>
        <w:tc>
          <w:tcPr>
            <w:tcW w:type="dxa" w:w="2381"/>
          </w:tcPr>
          <w:p/>
        </w:tc>
        <w:tc>
          <w:tcPr>
            <w:tcW w:type="dxa" w:w="3061"/>
          </w:tcPr>
          <w:p/>
        </w:tc>
        <w:tc>
          <w:tcPr>
            <w:tcW w:type="dxa" w:w="1757"/>
          </w:tcPr>
          <w:p/>
        </w:tc>
      </w:tr>
      <w:tr>
        <w:trPr>
          <w:cantSplit/>
        </w:trPr>
        <w:tc>
          <w:tcPr>
            <w:tcW w:type="dxa" w:w="2154"/>
          </w:tcPr>
          <w:p/>
        </w:tc>
        <w:tc>
          <w:tcPr>
            <w:tcW w:type="dxa" w:w="2381"/>
          </w:tcPr>
          <w:p/>
        </w:tc>
        <w:tc>
          <w:tcPr>
            <w:tcW w:type="dxa" w:w="3061"/>
          </w:tcPr>
          <w:p/>
        </w:tc>
        <w:tc>
          <w:tcPr>
            <w:tcW w:type="dxa" w:w="1757"/>
          </w:tcPr>
          <w:p/>
        </w:tc>
      </w:tr>
      <w:tr>
        <w:trPr>
          <w:cantSplit/>
        </w:trPr>
        <w:tc>
          <w:tcPr>
            <w:tcW w:type="dxa" w:w="2154"/>
          </w:tcPr>
          <w:p/>
        </w:tc>
        <w:tc>
          <w:tcPr>
            <w:tcW w:type="dxa" w:w="2381"/>
          </w:tcPr>
          <w:p/>
        </w:tc>
        <w:tc>
          <w:tcPr>
            <w:tcW w:type="dxa" w:w="3061"/>
          </w:tcPr>
          <w:p/>
        </w:tc>
        <w:tc>
          <w:tcPr>
            <w:tcW w:type="dxa" w:w="1757"/>
          </w:tcPr>
          <w:p/>
        </w:tc>
      </w:tr>
      <w:tr>
        <w:trPr>
          <w:cantSplit/>
        </w:trPr>
        <w:tc>
          <w:tcPr>
            <w:tcW w:type="dxa" w:w="2154"/>
          </w:tcPr>
          <w:p/>
        </w:tc>
        <w:tc>
          <w:tcPr>
            <w:tcW w:type="dxa" w:w="2381"/>
          </w:tcPr>
          <w:p/>
        </w:tc>
        <w:tc>
          <w:tcPr>
            <w:tcW w:type="dxa" w:w="3061"/>
          </w:tcPr>
          <w:p/>
        </w:tc>
        <w:tc>
          <w:tcPr>
            <w:tcW w:type="dxa" w:w="1757"/>
          </w:tcPr>
          <w:p/>
        </w:tc>
      </w:tr>
    </w:tbl>
    <w:p>
      <w:pPr>
        <w:spacing w:after="80"/>
      </w:pPr>
    </w:p>
    <w:p>
      <w:pPr>
        <w:pStyle w:val="Heading2"/>
        <w:keepNext/>
        <w:spacing w:before="200" w:after="120"/>
      </w:pPr>
      <w:r>
        <w:rPr>
          <w:rFonts w:ascii="Arial" w:hAnsi="Arial"/>
          <w:b/>
          <w:i w:val="0"/>
          <w:color w:val="171717"/>
          <w:sz w:val="23"/>
        </w:rPr>
        <w:t>3. Where the data will land</w:t>
      </w:r>
    </w:p>
    <w:tbl>
      <w:tblPr>
        <w:tblLook w:firstColumn="1" w:firstRow="1" w:lastColumn="0" w:lastRow="0" w:noHBand="0" w:noVBand="1" w:val="04A0"/>
        <w:tblBorders>
          <w:top w:val="single" w:sz="4" w:space="0" w:color="B9C4DC"/>
          <w:left w:val="single" w:sz="4" w:space="0" w:color="B9C4DC"/>
          <w:bottom w:val="single" w:sz="4" w:space="0" w:color="B9C4DC"/>
          <w:right w:val="single" w:sz="4" w:space="0" w:color="B9C4DC"/>
          <w:insideH w:val="single" w:sz="4" w:space="0" w:color="B9C4DC"/>
          <w:insideV w:val="single" w:sz="4" w:space="0" w:color="B9C4DC"/>
        </w:tblBorders>
        <w:tblLayout w:type="fixed"/>
        <w:tblCellMar>
          <w:top w:w="100" w:type="dxa"/>
          <w:bottom w:w="100" w:type="dxa"/>
          <w:left w:w="140" w:type="dxa"/>
          <w:right w:w="140" w:type="dxa"/>
        </w:tblCellMar>
        <w:tblLayout w:type="fixed"/>
        <w:tblW w:w="9412" w:type="dxa"/>
      </w:tblPr>
      <w:tblGrid>
        <w:gridCol w:w="9412"/>
      </w:tblGrid>
      <w:tr>
        <w:tc>
          <w:tcPr>
            <w:tcW w:type="dxa" w:w="9411"/>
          </w:tcPr>
          <w:p>
            <w:pPr>
              <w:spacing w:after="40"/>
            </w:pPr>
            <w:r>
              <w:rPr>
                <w:rFonts w:ascii="Arial" w:hAnsi="Arial"/>
                <w:b/>
                <w:i w:val="0"/>
                <w:color w:val="171717"/>
                <w:sz w:val="18"/>
              </w:rPr>
              <w:t>Describe your target architecture — for example a central data warehouse or lakehouse, the applications it feeds, and any applications that would call the API directly.</w:t>
            </w:r>
          </w:p>
          <w:p>
            <w:pPr>
              <w:spacing w:after="0"/>
            </w:pPr>
          </w:p>
          <w:p>
            <w:pPr>
              <w:spacing w:after="0"/>
            </w:pPr>
          </w:p>
          <w:p>
            <w:pPr>
              <w:spacing w:after="0"/>
            </w:pPr>
          </w:p>
          <w:p>
            <w:pPr>
              <w:spacing w:after="0"/>
            </w:pPr>
          </w:p>
        </w:tc>
      </w:tr>
    </w:tbl>
    <w:p>
      <w:pPr>
        <w:spacing w:after="80"/>
      </w:pPr>
    </w:p>
    <w:p>
      <w:pPr>
        <w:spacing w:after="40" w:before="0" w:line="276" w:lineRule="auto"/>
      </w:pPr>
      <w:r>
        <w:rPr>
          <w:rFonts w:ascii="Arial" w:hAnsi="Arial"/>
          <w:b/>
          <w:i w:val="0"/>
          <w:color w:val="171717"/>
          <w:sz w:val="19"/>
        </w:rPr>
        <w:t>Access pattern needed</w:t>
      </w:r>
    </w:p>
    <w:p>
      <w:pPr>
        <w:spacing w:after="160" w:before="0" w:line="276" w:lineRule="auto"/>
      </w:pPr>
      <w:r>
        <w:rPr>
          <w:rFonts w:ascii="Arial" w:hAnsi="Arial"/>
          <w:b w:val="0"/>
          <w:i w:val="0"/>
          <w:color w:val="374151"/>
          <w:sz w:val="19"/>
        </w:rPr>
        <w:t>☐ Live lookups (single building / area)    ☐ Bulk extract    ☐ Incremental (change-only) updates    ☐ Not sure yet</w:t>
      </w:r>
    </w:p>
    <w:tbl>
      <w:tblPr>
        <w:tblLook w:firstColumn="1" w:firstRow="1" w:lastColumn="0" w:lastRow="0" w:noHBand="0" w:noVBand="1" w:val="04A0"/>
        <w:tblBorders>
          <w:top w:val="single" w:sz="4" w:space="0" w:color="B9C4DC"/>
          <w:left w:val="single" w:sz="4" w:space="0" w:color="B9C4DC"/>
          <w:bottom w:val="single" w:sz="4" w:space="0" w:color="B9C4DC"/>
          <w:right w:val="single" w:sz="4" w:space="0" w:color="B9C4DC"/>
          <w:insideH w:val="single" w:sz="4" w:space="0" w:color="B9C4DC"/>
          <w:insideV w:val="single" w:sz="4" w:space="0" w:color="B9C4DC"/>
        </w:tblBorders>
        <w:tblLayout w:type="fixed"/>
        <w:tblCellMar>
          <w:top w:w="100" w:type="dxa"/>
          <w:bottom w:w="100" w:type="dxa"/>
          <w:left w:w="140" w:type="dxa"/>
          <w:right w:w="140" w:type="dxa"/>
        </w:tblCellMar>
        <w:tblLayout w:type="fixed"/>
        <w:tblW w:w="9412" w:type="dxa"/>
      </w:tblPr>
      <w:tblGrid>
        <w:gridCol w:w="9412"/>
      </w:tblGrid>
      <w:tr>
        <w:tc>
          <w:tcPr>
            <w:tcW w:type="dxa" w:w="9411"/>
          </w:tcPr>
          <w:p>
            <w:pPr>
              <w:spacing w:after="40"/>
            </w:pPr>
            <w:r>
              <w:rPr>
                <w:rFonts w:ascii="Arial" w:hAnsi="Arial"/>
                <w:b/>
                <w:i w:val="0"/>
                <w:color w:val="171717"/>
                <w:sz w:val="18"/>
              </w:rPr>
              <w:t>Retention and history: how long do you need to hold Arealytics data, and do you need historical records or change history over time? (See Part A, section 7.)</w:t>
            </w:r>
          </w:p>
          <w:p>
            <w:pPr>
              <w:spacing w:after="0"/>
            </w:pPr>
          </w:p>
          <w:p>
            <w:pPr>
              <w:spacing w:after="0"/>
            </w:pPr>
          </w:p>
          <w:p>
            <w:pPr>
              <w:spacing w:after="0"/>
            </w:pPr>
          </w:p>
        </w:tc>
      </w:tr>
    </w:tbl>
    <w:p>
      <w:pPr>
        <w:spacing w:after="80"/>
      </w:pPr>
    </w:p>
    <w:p>
      <w:pPr>
        <w:pStyle w:val="Heading2"/>
        <w:keepNext/>
        <w:spacing w:before="200" w:after="120"/>
      </w:pPr>
      <w:r>
        <w:rPr>
          <w:rFonts w:ascii="Arial" w:hAnsi="Arial"/>
          <w:b/>
          <w:i w:val="0"/>
          <w:color w:val="171717"/>
          <w:sz w:val="23"/>
        </w:rPr>
        <w:t>4. Data requirements</w:t>
      </w:r>
    </w:p>
    <w:p>
      <w:pPr>
        <w:spacing w:after="120" w:before="0" w:line="276" w:lineRule="auto"/>
      </w:pPr>
      <w:r>
        <w:rPr>
          <w:rFonts w:ascii="Arial" w:hAnsi="Arial"/>
          <w:b w:val="0"/>
          <w:i w:val="0"/>
          <w:color w:val="5E688A"/>
          <w:sz w:val="19"/>
        </w:rPr>
        <w:t>Mark a priority for each dataset and note any specific fields or filters you need.</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2381"/>
        <w:gridCol w:w="2608"/>
        <w:gridCol w:w="4365"/>
      </w:tblGrid>
      <w:tr>
        <w:trPr>
          <w:cantSplit/>
          <w:tblHeader/>
        </w:trPr>
        <w:tc>
          <w:tcPr>
            <w:tcW w:type="dxa" w:w="2381"/>
            <w:shd w:val="clear" w:color="auto" w:fill="2350C0"/>
          </w:tcPr>
          <w:p>
            <w:pPr>
              <w:spacing w:after="0"/>
            </w:pPr>
            <w:r>
              <w:rPr>
                <w:rFonts w:ascii="Arial" w:hAnsi="Arial"/>
                <w:b/>
                <w:i w:val="0"/>
                <w:color w:val="FFFFFF"/>
                <w:sz w:val="18"/>
              </w:rPr>
              <w:t>Dataset</w:t>
            </w:r>
          </w:p>
        </w:tc>
        <w:tc>
          <w:tcPr>
            <w:tcW w:type="dxa" w:w="2608"/>
            <w:shd w:val="clear" w:color="auto" w:fill="2350C0"/>
          </w:tcPr>
          <w:p>
            <w:pPr>
              <w:spacing w:after="0"/>
            </w:pPr>
            <w:r>
              <w:rPr>
                <w:rFonts w:ascii="Arial" w:hAnsi="Arial"/>
                <w:b/>
                <w:i w:val="0"/>
                <w:color w:val="FFFFFF"/>
                <w:sz w:val="18"/>
              </w:rPr>
              <w:t>Priority (Must / Should / Nice to have / Not needed)</w:t>
            </w:r>
          </w:p>
        </w:tc>
        <w:tc>
          <w:tcPr>
            <w:tcW w:type="dxa" w:w="4365"/>
            <w:shd w:val="clear" w:color="auto" w:fill="2350C0"/>
          </w:tcPr>
          <w:p>
            <w:pPr>
              <w:spacing w:after="0"/>
            </w:pPr>
            <w:r>
              <w:rPr>
                <w:rFonts w:ascii="Arial" w:hAnsi="Arial"/>
                <w:b/>
                <w:i w:val="0"/>
                <w:color w:val="FFFFFF"/>
                <w:sz w:val="18"/>
              </w:rPr>
              <w:t>Specific fields, filters or notes</w:t>
            </w:r>
          </w:p>
        </w:tc>
      </w:tr>
      <w:tr>
        <w:trPr>
          <w:cantSplit/>
        </w:trPr>
        <w:tc>
          <w:tcPr>
            <w:tcW w:type="dxa" w:w="2381"/>
          </w:tcPr>
          <w:p>
            <w:pPr>
              <w:spacing w:after="0"/>
            </w:pPr>
            <w:r>
              <w:rPr>
                <w:rFonts w:ascii="Arial" w:hAnsi="Arial"/>
                <w:b/>
                <w:i w:val="0"/>
                <w:color w:val="171717"/>
                <w:sz w:val="18"/>
              </w:rPr>
              <w:t>Property universe</w:t>
            </w:r>
          </w:p>
        </w:tc>
        <w:tc>
          <w:tcPr>
            <w:tcW w:type="dxa" w:w="2608"/>
          </w:tcPr>
          <w:p>
            <w:pPr>
              <w:spacing w:after="0"/>
            </w:pPr>
          </w:p>
        </w:tc>
        <w:tc>
          <w:tcPr>
            <w:tcW w:type="dxa" w:w="4365"/>
          </w:tcPr>
          <w:p>
            <w:pPr>
              <w:spacing w:after="0"/>
            </w:pPr>
          </w:p>
        </w:tc>
      </w:tr>
      <w:tr>
        <w:trPr>
          <w:cantSplit/>
        </w:trPr>
        <w:tc>
          <w:tcPr>
            <w:tcW w:type="dxa" w:w="2381"/>
            <w:shd w:val="clear" w:color="auto" w:fill="F5F7FA"/>
          </w:tcPr>
          <w:p>
            <w:pPr>
              <w:spacing w:after="0"/>
            </w:pPr>
            <w:r>
              <w:rPr>
                <w:rFonts w:ascii="Arial" w:hAnsi="Arial"/>
                <w:b/>
                <w:i w:val="0"/>
                <w:color w:val="171717"/>
                <w:sz w:val="18"/>
              </w:rPr>
              <w:t>Leases</w:t>
            </w:r>
          </w:p>
        </w:tc>
        <w:tc>
          <w:tcPr>
            <w:tcW w:type="dxa" w:w="2608"/>
            <w:shd w:val="clear" w:color="auto" w:fill="F5F7FA"/>
          </w:tcPr>
          <w:p>
            <w:pPr>
              <w:spacing w:after="0"/>
            </w:pPr>
          </w:p>
        </w:tc>
        <w:tc>
          <w:tcPr>
            <w:tcW w:type="dxa" w:w="4365"/>
            <w:shd w:val="clear" w:color="auto" w:fill="F5F7FA"/>
          </w:tcPr>
          <w:p>
            <w:pPr>
              <w:spacing w:after="0"/>
            </w:pPr>
          </w:p>
        </w:tc>
      </w:tr>
      <w:tr>
        <w:trPr>
          <w:cantSplit/>
        </w:trPr>
        <w:tc>
          <w:tcPr>
            <w:tcW w:type="dxa" w:w="2381"/>
          </w:tcPr>
          <w:p>
            <w:pPr>
              <w:spacing w:after="0"/>
            </w:pPr>
            <w:r>
              <w:rPr>
                <w:rFonts w:ascii="Arial" w:hAnsi="Arial"/>
                <w:b/>
                <w:i w:val="0"/>
                <w:color w:val="171717"/>
                <w:sz w:val="18"/>
              </w:rPr>
              <w:t>Tenants &amp; occupiers</w:t>
            </w:r>
          </w:p>
        </w:tc>
        <w:tc>
          <w:tcPr>
            <w:tcW w:type="dxa" w:w="2608"/>
          </w:tcPr>
          <w:p>
            <w:pPr>
              <w:spacing w:after="0"/>
            </w:pPr>
          </w:p>
        </w:tc>
        <w:tc>
          <w:tcPr>
            <w:tcW w:type="dxa" w:w="4365"/>
          </w:tcPr>
          <w:p>
            <w:pPr>
              <w:spacing w:after="0"/>
            </w:pPr>
          </w:p>
        </w:tc>
      </w:tr>
      <w:tr>
        <w:trPr>
          <w:cantSplit/>
        </w:trPr>
        <w:tc>
          <w:tcPr>
            <w:tcW w:type="dxa" w:w="2381"/>
            <w:shd w:val="clear" w:color="auto" w:fill="F5F7FA"/>
          </w:tcPr>
          <w:p>
            <w:pPr>
              <w:spacing w:after="0"/>
            </w:pPr>
            <w:r>
              <w:rPr>
                <w:rFonts w:ascii="Arial" w:hAnsi="Arial"/>
                <w:b/>
                <w:i w:val="0"/>
                <w:color w:val="171717"/>
                <w:sz w:val="18"/>
              </w:rPr>
              <w:t>Ownership</w:t>
            </w:r>
          </w:p>
        </w:tc>
        <w:tc>
          <w:tcPr>
            <w:tcW w:type="dxa" w:w="2608"/>
            <w:shd w:val="clear" w:color="auto" w:fill="F5F7FA"/>
          </w:tcPr>
          <w:p>
            <w:pPr>
              <w:spacing w:after="0"/>
            </w:pPr>
          </w:p>
        </w:tc>
        <w:tc>
          <w:tcPr>
            <w:tcW w:type="dxa" w:w="4365"/>
            <w:shd w:val="clear" w:color="auto" w:fill="F5F7FA"/>
          </w:tcPr>
          <w:p>
            <w:pPr>
              <w:spacing w:after="0"/>
            </w:pPr>
          </w:p>
        </w:tc>
      </w:tr>
      <w:tr>
        <w:trPr>
          <w:cantSplit/>
        </w:trPr>
        <w:tc>
          <w:tcPr>
            <w:tcW w:type="dxa" w:w="2381"/>
          </w:tcPr>
          <w:p>
            <w:pPr>
              <w:spacing w:after="0"/>
            </w:pPr>
            <w:r>
              <w:rPr>
                <w:rFonts w:ascii="Arial" w:hAnsi="Arial"/>
                <w:b/>
                <w:i w:val="0"/>
                <w:color w:val="171717"/>
                <w:sz w:val="18"/>
              </w:rPr>
              <w:t>Sales</w:t>
            </w:r>
          </w:p>
        </w:tc>
        <w:tc>
          <w:tcPr>
            <w:tcW w:type="dxa" w:w="2608"/>
          </w:tcPr>
          <w:p>
            <w:pPr>
              <w:spacing w:after="0"/>
            </w:pPr>
          </w:p>
        </w:tc>
        <w:tc>
          <w:tcPr>
            <w:tcW w:type="dxa" w:w="4365"/>
          </w:tcPr>
          <w:p>
            <w:pPr>
              <w:spacing w:after="0"/>
            </w:pPr>
          </w:p>
        </w:tc>
      </w:tr>
      <w:tr>
        <w:trPr>
          <w:cantSplit/>
        </w:trPr>
        <w:tc>
          <w:tcPr>
            <w:tcW w:type="dxa" w:w="2381"/>
            <w:shd w:val="clear" w:color="auto" w:fill="F5F7FA"/>
          </w:tcPr>
          <w:p>
            <w:pPr>
              <w:spacing w:after="0"/>
            </w:pPr>
            <w:r>
              <w:rPr>
                <w:rFonts w:ascii="Arial" w:hAnsi="Arial"/>
                <w:b/>
                <w:i w:val="0"/>
                <w:color w:val="171717"/>
                <w:sz w:val="18"/>
              </w:rPr>
              <w:t>Listings (for sale / for lease)</w:t>
            </w:r>
          </w:p>
        </w:tc>
        <w:tc>
          <w:tcPr>
            <w:tcW w:type="dxa" w:w="2608"/>
            <w:shd w:val="clear" w:color="auto" w:fill="F5F7FA"/>
          </w:tcPr>
          <w:p>
            <w:pPr>
              <w:spacing w:after="0"/>
            </w:pPr>
          </w:p>
        </w:tc>
        <w:tc>
          <w:tcPr>
            <w:tcW w:type="dxa" w:w="4365"/>
            <w:shd w:val="clear" w:color="auto" w:fill="F5F7FA"/>
          </w:tcPr>
          <w:p>
            <w:pPr>
              <w:spacing w:after="0"/>
            </w:pPr>
          </w:p>
        </w:tc>
      </w:tr>
    </w:tbl>
    <w:p>
      <w:pPr>
        <w:spacing w:after="80"/>
      </w:pPr>
    </w:p>
    <w:p>
      <w:pPr>
        <w:pStyle w:val="Heading2"/>
        <w:keepNext/>
        <w:spacing w:before="200" w:after="120"/>
      </w:pPr>
      <w:r>
        <w:rPr>
          <w:rFonts w:ascii="Arial" w:hAnsi="Arial"/>
          <w:b/>
          <w:i w:val="0"/>
          <w:color w:val="171717"/>
          <w:sz w:val="23"/>
        </w:rPr>
        <w:t>5. Delivery and access</w:t>
      </w:r>
    </w:p>
    <w:p>
      <w:pPr>
        <w:spacing w:after="40" w:before="0" w:line="276" w:lineRule="auto"/>
      </w:pPr>
      <w:r>
        <w:rPr>
          <w:rFonts w:ascii="Arial" w:hAnsi="Arial"/>
          <w:b/>
          <w:i w:val="0"/>
          <w:color w:val="171717"/>
          <w:sz w:val="19"/>
        </w:rPr>
        <w:t>Markets</w:t>
      </w:r>
    </w:p>
    <w:p>
      <w:pPr>
        <w:spacing w:after="160" w:before="0" w:line="276" w:lineRule="auto"/>
      </w:pPr>
      <w:r>
        <w:rPr>
          <w:rFonts w:ascii="Arial" w:hAnsi="Arial"/>
          <w:b w:val="0"/>
          <w:i w:val="0"/>
          <w:color w:val="374151"/>
          <w:sz w:val="19"/>
        </w:rPr>
        <w:t>☐ Sydney    ☐ Melbourne    ☐ Brisbane    ☐ Perth    ☐ Adelaide</w:t>
      </w:r>
    </w:p>
    <w:p>
      <w:pPr>
        <w:spacing w:after="40" w:before="0" w:line="276" w:lineRule="auto"/>
      </w:pPr>
      <w:r>
        <w:rPr>
          <w:rFonts w:ascii="Arial" w:hAnsi="Arial"/>
          <w:b/>
          <w:i w:val="0"/>
          <w:color w:val="171717"/>
          <w:sz w:val="19"/>
        </w:rPr>
        <w:t>Asset classes</w:t>
      </w:r>
    </w:p>
    <w:p>
      <w:pPr>
        <w:spacing w:after="160" w:before="0" w:line="276" w:lineRule="auto"/>
      </w:pPr>
      <w:r>
        <w:rPr>
          <w:rFonts w:ascii="Arial" w:hAnsi="Arial"/>
          <w:b w:val="0"/>
          <w:i w:val="0"/>
          <w:color w:val="374151"/>
          <w:sz w:val="19"/>
        </w:rPr>
        <w:t>☐ Office    ☐ Industrial    ☐ Retail    ☐ Land    ☐ Special use</w:t>
      </w:r>
    </w:p>
    <w:p>
      <w:pPr>
        <w:spacing w:after="40" w:before="0" w:line="276" w:lineRule="auto"/>
      </w:pPr>
      <w:r>
        <w:rPr>
          <w:rFonts w:ascii="Arial" w:hAnsi="Arial"/>
          <w:b/>
          <w:i w:val="0"/>
          <w:color w:val="171717"/>
          <w:sz w:val="19"/>
        </w:rPr>
        <w:t>Refresh you need</w:t>
      </w:r>
    </w:p>
    <w:p>
      <w:pPr>
        <w:spacing w:after="160" w:before="0" w:line="276" w:lineRule="auto"/>
      </w:pPr>
      <w:r>
        <w:rPr>
          <w:rFonts w:ascii="Arial" w:hAnsi="Arial"/>
          <w:b w:val="0"/>
          <w:i w:val="0"/>
          <w:color w:val="374151"/>
          <w:sz w:val="19"/>
        </w:rPr>
        <w:t>☐ Weekly    ☐ Monthly    ☐ Quarterly    ☐ On demand</w:t>
      </w:r>
    </w:p>
    <w:tbl>
      <w:tblPr>
        <w:jc w:val="center"/>
        <w:tblLook w:firstColumn="1" w:firstRow="1" w:lastColumn="0" w:lastRow="0" w:noHBand="0" w:noVBand="1" w:val="04A0"/>
        <w:tblBorders>
          <w:top w:val="single" w:sz="4" w:space="0" w:color="D3E0F6"/>
          <w:left w:val="single" w:sz="4" w:space="0" w:color="D3E0F6"/>
          <w:bottom w:val="single" w:sz="4" w:space="0" w:color="D3E0F6"/>
          <w:right w:val="single" w:sz="4" w:space="0" w:color="D3E0F6"/>
          <w:insideH w:val="single" w:sz="4" w:space="0" w:color="D3E0F6"/>
          <w:insideV w:val="single" w:sz="4" w:space="0" w:color="D3E0F6"/>
        </w:tblBorders>
        <w:tblLayout w:type="fixed"/>
        <w:tblCellMar>
          <w:top w:w="90" w:type="dxa"/>
          <w:bottom w:w="90" w:type="dxa"/>
          <w:left w:w="110" w:type="dxa"/>
          <w:right w:w="110" w:type="dxa"/>
        </w:tblCellMar>
        <w:tblLayout w:type="fixed"/>
        <w:tblW w:w="9355" w:type="dxa"/>
      </w:tblPr>
      <w:tblGrid>
        <w:gridCol w:w="3969"/>
        <w:gridCol w:w="5386"/>
      </w:tblGrid>
      <w:tr>
        <w:trPr>
          <w:cantSplit/>
          <w:tblHeader/>
        </w:trPr>
        <w:tc>
          <w:tcPr>
            <w:tcW w:type="dxa" w:w="3969"/>
            <w:shd w:val="clear" w:color="auto" w:fill="2350C0"/>
          </w:tcPr>
          <w:p>
            <w:pPr>
              <w:spacing w:after="0"/>
            </w:pPr>
            <w:r>
              <w:rPr>
                <w:rFonts w:ascii="Arial" w:hAnsi="Arial"/>
                <w:b/>
                <w:i w:val="0"/>
                <w:color w:val="FFFFFF"/>
                <w:sz w:val="18"/>
              </w:rPr>
            </w:r>
          </w:p>
        </w:tc>
        <w:tc>
          <w:tcPr>
            <w:tcW w:type="dxa" w:w="5386"/>
            <w:shd w:val="clear" w:color="auto" w:fill="2350C0"/>
          </w:tcPr>
          <w:p>
            <w:pPr>
              <w:spacing w:after="0"/>
            </w:pPr>
            <w:r>
              <w:rPr>
                <w:rFonts w:ascii="Arial" w:hAnsi="Arial"/>
                <w:b/>
                <w:i w:val="0"/>
                <w:color w:val="FFFFFF"/>
                <w:sz w:val="18"/>
              </w:rPr>
              <w:t>Your requirement</w:t>
            </w:r>
          </w:p>
        </w:tc>
      </w:tr>
      <w:tr>
        <w:trPr>
          <w:cantSplit/>
        </w:trPr>
        <w:tc>
          <w:tcPr>
            <w:tcW w:type="dxa" w:w="3969"/>
          </w:tcPr>
          <w:p>
            <w:pPr>
              <w:spacing w:after="0"/>
            </w:pPr>
            <w:r>
              <w:rPr>
                <w:rFonts w:ascii="Arial" w:hAnsi="Arial"/>
                <w:b/>
                <w:i w:val="0"/>
                <w:color w:val="171717"/>
                <w:sz w:val="18"/>
              </w:rPr>
              <w:t>Priority areas (e.g. CBD office first)</w:t>
            </w:r>
          </w:p>
        </w:tc>
        <w:tc>
          <w:tcPr>
            <w:tcW w:type="dxa" w:w="5386"/>
          </w:tcPr>
          <w:p>
            <w:pPr>
              <w:spacing w:after="0"/>
            </w:pPr>
          </w:p>
        </w:tc>
      </w:tr>
      <w:tr>
        <w:trPr>
          <w:cantSplit/>
        </w:trPr>
        <w:tc>
          <w:tcPr>
            <w:tcW w:type="dxa" w:w="3969"/>
            <w:shd w:val="clear" w:color="auto" w:fill="F5F7FA"/>
          </w:tcPr>
          <w:p>
            <w:pPr>
              <w:spacing w:after="0"/>
            </w:pPr>
            <w:r>
              <w:rPr>
                <w:rFonts w:ascii="Arial" w:hAnsi="Arial"/>
                <w:b/>
                <w:i w:val="0"/>
                <w:color w:val="171717"/>
                <w:sz w:val="18"/>
              </w:rPr>
              <w:t>Expected volume (records or calls per month, largest single extract)</w:t>
            </w:r>
          </w:p>
        </w:tc>
        <w:tc>
          <w:tcPr>
            <w:tcW w:type="dxa" w:w="5386"/>
            <w:shd w:val="clear" w:color="auto" w:fill="F5F7FA"/>
          </w:tcPr>
          <w:p>
            <w:pPr>
              <w:spacing w:after="0"/>
            </w:pPr>
          </w:p>
        </w:tc>
      </w:tr>
      <w:tr>
        <w:trPr>
          <w:cantSplit/>
        </w:trPr>
        <w:tc>
          <w:tcPr>
            <w:tcW w:type="dxa" w:w="3969"/>
          </w:tcPr>
          <w:p>
            <w:pPr>
              <w:spacing w:after="0"/>
            </w:pPr>
            <w:r>
              <w:rPr>
                <w:rFonts w:ascii="Arial" w:hAnsi="Arial"/>
                <w:b/>
                <w:i w:val="0"/>
                <w:color w:val="171717"/>
                <w:sz w:val="18"/>
              </w:rPr>
              <w:t>Identifiers you'll match on (e.g. your own building ID, address, ABN)</w:t>
            </w:r>
          </w:p>
        </w:tc>
        <w:tc>
          <w:tcPr>
            <w:tcW w:type="dxa" w:w="5386"/>
          </w:tcPr>
          <w:p>
            <w:pPr>
              <w:spacing w:after="0"/>
            </w:pPr>
          </w:p>
        </w:tc>
      </w:tr>
      <w:tr>
        <w:trPr>
          <w:cantSplit/>
        </w:trPr>
        <w:tc>
          <w:tcPr>
            <w:tcW w:type="dxa" w:w="3969"/>
            <w:shd w:val="clear" w:color="auto" w:fill="F5F7FA"/>
          </w:tcPr>
          <w:p>
            <w:pPr>
              <w:spacing w:after="0"/>
            </w:pPr>
            <w:r>
              <w:rPr>
                <w:rFonts w:ascii="Arial" w:hAnsi="Arial"/>
                <w:b/>
                <w:i w:val="0"/>
                <w:color w:val="171717"/>
                <w:sz w:val="18"/>
              </w:rPr>
              <w:t>Client-facing use — products, reports or platforms that would show Arealytics data to your clients</w:t>
            </w:r>
          </w:p>
        </w:tc>
        <w:tc>
          <w:tcPr>
            <w:tcW w:type="dxa" w:w="5386"/>
            <w:shd w:val="clear" w:color="auto" w:fill="F5F7FA"/>
          </w:tcPr>
          <w:p>
            <w:pPr>
              <w:spacing w:after="0"/>
            </w:pPr>
          </w:p>
        </w:tc>
      </w:tr>
      <w:tr>
        <w:trPr>
          <w:cantSplit/>
        </w:trPr>
        <w:tc>
          <w:tcPr>
            <w:tcW w:type="dxa" w:w="3969"/>
          </w:tcPr>
          <w:p>
            <w:pPr>
              <w:spacing w:after="0"/>
            </w:pPr>
            <w:r>
              <w:rPr>
                <w:rFonts w:ascii="Arial" w:hAnsi="Arial"/>
                <w:b/>
                <w:i w:val="0"/>
                <w:color w:val="171717"/>
                <w:sz w:val="18"/>
              </w:rPr>
              <w:t>AI use — any AI system that would receive or use the data</w:t>
            </w:r>
          </w:p>
        </w:tc>
        <w:tc>
          <w:tcPr>
            <w:tcW w:type="dxa" w:w="5386"/>
          </w:tcPr>
          <w:p>
            <w:pPr>
              <w:spacing w:after="0"/>
            </w:pPr>
          </w:p>
        </w:tc>
      </w:tr>
      <w:tr>
        <w:trPr>
          <w:cantSplit/>
        </w:trPr>
        <w:tc>
          <w:tcPr>
            <w:tcW w:type="dxa" w:w="3969"/>
            <w:shd w:val="clear" w:color="auto" w:fill="F5F7FA"/>
          </w:tcPr>
          <w:p>
            <w:pPr>
              <w:spacing w:after="0"/>
            </w:pPr>
            <w:r>
              <w:rPr>
                <w:rFonts w:ascii="Arial" w:hAnsi="Arial"/>
                <w:b/>
                <w:i w:val="0"/>
                <w:color w:val="171717"/>
                <w:sz w:val="18"/>
              </w:rPr>
              <w:t>Identity provider and API key management (e.g. Microsoft Entra ID, Okta; who manages keys)</w:t>
            </w:r>
          </w:p>
        </w:tc>
        <w:tc>
          <w:tcPr>
            <w:tcW w:type="dxa" w:w="5386"/>
            <w:shd w:val="clear" w:color="auto" w:fill="F5F7FA"/>
          </w:tcPr>
          <w:p>
            <w:pPr>
              <w:spacing w:after="0"/>
            </w:pPr>
          </w:p>
        </w:tc>
      </w:tr>
    </w:tbl>
    <w:p>
      <w:pPr>
        <w:spacing w:after="80"/>
      </w:pPr>
    </w:p>
    <w:p>
      <w:pPr>
        <w:pStyle w:val="Heading2"/>
        <w:keepNext/>
        <w:spacing w:before="200" w:after="120"/>
      </w:pPr>
      <w:r>
        <w:rPr>
          <w:rFonts w:ascii="Arial" w:hAnsi="Arial"/>
          <w:b/>
          <w:i w:val="0"/>
          <w:color w:val="171717"/>
          <w:sz w:val="23"/>
        </w:rPr>
        <w:t>6. Your existing data</w:t>
      </w:r>
    </w:p>
    <w:tbl>
      <w:tblPr>
        <w:tblLook w:firstColumn="1" w:firstRow="1" w:lastColumn="0" w:lastRow="0" w:noHBand="0" w:noVBand="1" w:val="04A0"/>
        <w:tblBorders>
          <w:top w:val="single" w:sz="4" w:space="0" w:color="B9C4DC"/>
          <w:left w:val="single" w:sz="4" w:space="0" w:color="B9C4DC"/>
          <w:bottom w:val="single" w:sz="4" w:space="0" w:color="B9C4DC"/>
          <w:right w:val="single" w:sz="4" w:space="0" w:color="B9C4DC"/>
          <w:insideH w:val="single" w:sz="4" w:space="0" w:color="B9C4DC"/>
          <w:insideV w:val="single" w:sz="4" w:space="0" w:color="B9C4DC"/>
        </w:tblBorders>
        <w:tblLayout w:type="fixed"/>
        <w:tblCellMar>
          <w:top w:w="100" w:type="dxa"/>
          <w:bottom w:w="100" w:type="dxa"/>
          <w:left w:w="140" w:type="dxa"/>
          <w:right w:w="140" w:type="dxa"/>
        </w:tblCellMar>
        <w:tblLayout w:type="fixed"/>
        <w:tblW w:w="9412" w:type="dxa"/>
      </w:tblPr>
      <w:tblGrid>
        <w:gridCol w:w="9412"/>
      </w:tblGrid>
      <w:tr>
        <w:tc>
          <w:tcPr>
            <w:tcW w:type="dxa" w:w="9411"/>
          </w:tcPr>
          <w:p>
            <w:pPr>
              <w:spacing w:after="40"/>
            </w:pPr>
            <w:r>
              <w:rPr>
                <w:rFonts w:ascii="Arial" w:hAnsi="Arial"/>
                <w:b/>
                <w:i w:val="0"/>
                <w:color w:val="171717"/>
                <w:sz w:val="18"/>
              </w:rPr>
              <w:t>Which datasets do you already maintain (e.g. your own transactions, vacancy or listings), and should they remain your primary record? This helps us design the matching approach.</w:t>
            </w:r>
          </w:p>
          <w:p>
            <w:pPr>
              <w:spacing w:after="0"/>
            </w:pPr>
          </w:p>
          <w:p>
            <w:pPr>
              <w:spacing w:after="0"/>
            </w:pPr>
          </w:p>
          <w:p>
            <w:pPr>
              <w:spacing w:after="0"/>
            </w:pPr>
          </w:p>
        </w:tc>
      </w:tr>
    </w:tbl>
    <w:p>
      <w:pPr>
        <w:spacing w:after="80"/>
      </w:pPr>
    </w:p>
    <w:p>
      <w:pPr>
        <w:pStyle w:val="Heading2"/>
        <w:keepNext/>
        <w:spacing w:before="200" w:after="120"/>
      </w:pPr>
      <w:r>
        <w:rPr>
          <w:rFonts w:ascii="Arial" w:hAnsi="Arial"/>
          <w:b/>
          <w:i w:val="0"/>
          <w:color w:val="171717"/>
          <w:sz w:val="23"/>
        </w:rPr>
        <w:t>7. Next steps</w:t>
      </w:r>
    </w:p>
    <w:p>
      <w:pPr>
        <w:pStyle w:val="ListBullet"/>
        <w:spacing w:after="60"/>
      </w:pPr>
      <w:r>
        <w:rPr>
          <w:rFonts w:ascii="Arial" w:hAnsi="Arial"/>
          <w:b w:val="0"/>
          <w:i w:val="0"/>
          <w:color w:val="374151"/>
          <w:sz w:val="20"/>
        </w:rPr>
        <w:t>Return this completed brief to your Arealytics account manager.</w:t>
      </w:r>
    </w:p>
    <w:p>
      <w:pPr>
        <w:pStyle w:val="ListBullet"/>
        <w:spacing w:after="60"/>
      </w:pPr>
      <w:r>
        <w:rPr>
          <w:rFonts w:ascii="Arial" w:hAnsi="Arial"/>
          <w:b w:val="0"/>
          <w:i w:val="0"/>
          <w:color w:val="374151"/>
          <w:sz w:val="20"/>
        </w:rPr>
        <w:t>We'll confirm coverage and record counts for your markets and datasets.</w:t>
      </w:r>
    </w:p>
    <w:p>
      <w:pPr>
        <w:pStyle w:val="ListBullet"/>
        <w:spacing w:after="60"/>
      </w:pPr>
      <w:r>
        <w:rPr>
          <w:rFonts w:ascii="Arial" w:hAnsi="Arial"/>
          <w:b w:val="0"/>
          <w:i w:val="0"/>
          <w:color w:val="374151"/>
          <w:sz w:val="20"/>
        </w:rPr>
        <w:t>We'll hold a technical working session with your team on architecture, access patterns and matching.</w:t>
      </w:r>
    </w:p>
    <w:p>
      <w:pPr>
        <w:pStyle w:val="ListBullet"/>
        <w:spacing w:after="60"/>
      </w:pPr>
      <w:r>
        <w:rPr>
          <w:rFonts w:ascii="Arial" w:hAnsi="Arial"/>
          <w:b w:val="0"/>
          <w:i w:val="0"/>
          <w:color w:val="374151"/>
          <w:sz w:val="20"/>
        </w:rPr>
        <w:t>We'll prepare your API Order Form, confirming the tier, datasets, Fair Use Ceiling, any Approved Products and the API fee.</w:t>
      </w:r>
    </w:p>
    <w:p>
      <w:pPr>
        <w:spacing w:after="120" w:before="0" w:line="276" w:lineRule="auto"/>
      </w:pPr>
      <w:r>
        <w:rPr>
          <w:rFonts w:ascii="Arial" w:hAnsi="Arial"/>
          <w:b w:val="0"/>
          <w:i w:val="0"/>
          <w:color w:val="5E688A"/>
          <w:sz w:val="19"/>
        </w:rPr>
        <w:t>Questions in the meantime: info@arealytics.com.au</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b w:val="0"/>
        <w:i w:val="0"/>
        <w:color w:val="5E688A"/>
        <w:sz w:val="15"/>
      </w:rPr>
      <w:t>Empirical CRE Pty Ltd T/As Arealytics · ACN 625 506 505 · Confidential when completed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5E688A"/>
        <w:sz w:val="15"/>
      </w:rPr>
      <w:t>AREALYTICS API  ·  ACCESS &amp; REQUIREMENTS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