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nts/Roboto-bold.ttf" ContentType="application/x-font-ttf"/>
  <Override PartName="/word/fonts/Roboto-boldItalic.ttf" ContentType="application/x-font-ttf"/>
  <Override PartName="/word/fonts/Roboto-italic.ttf" ContentType="application/x-font-ttf"/>
  <Override PartName="/word/fonts/Roboto-regular.ttf" ContentType="application/x-font-tt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rPr>
          <w:b w:val="1"/>
          <w:bCs w:val="1"/>
          <w:sz w:val="46"/>
          <w:szCs w:val="46"/>
        </w:rPr>
      </w:pPr>
      <w:r w:rsidDel="00000000" w:rsidR="00000000" w:rsidRPr="00000000">
        <w:rPr>
          <w:sz w:val="40"/>
          <w:szCs w:val="40"/>
          <w:rtl w:val="0"/>
        </w:rPr>
        <w:t xml:space="preserve">When Power Becomes Property Value: How Data Centres Are Repricing Western Sydney Industrial Land</w:t>
      </w:r>
      <w:r w:rsidDel="00000000" w:rsidR="00000000" w:rsidRPr="00000000">
        <w:rPr>
          <w:rtl w:val="0"/>
        </w:rPr>
      </w:r>
    </w:p>
    <w:p w:rsidR="00000000" w:rsidDel="00000000" w:rsidP="00000000" w:rsidRDefault="00000000" w:rsidRPr="00000000" w14:paraId="00000002">
      <w:pPr>
        <w:spacing w:after="240" w:before="240" w:lineRule="auto"/>
        <w:rPr/>
      </w:pPr>
      <w:r w:rsidDel="00000000" w:rsidR="00000000" w:rsidRPr="00000000">
        <w:rPr>
          <w:rtl w:val="0"/>
        </w:rPr>
        <w:t xml:space="preserve">For years, industrial property value has been defined by traditional fundamentals: land, labor, transport, and customer access. In Western Sydney, a new variable is shifting the equation: power. As data centre land demand intensifies, organisations are increasingly prioritising sites that can support massive electricity requirements. This trend is driving a measurable pricing premium in Greater Sydney submarkets with  high-capacity power infrastructure. Arealytics’ analysis of independently verified industrial land sales and asset performance from 2021 to 2026 reveals that this shift extends far beyond the data centres themselves, fundamentally altering property economics across Greater Sydney.</w:t>
      </w:r>
    </w:p>
    <w:p w:rsidR="00000000" w:rsidDel="00000000" w:rsidP="00000000" w:rsidRDefault="00000000" w:rsidRPr="00000000" w14:paraId="00000003">
      <w:pPr>
        <w:spacing w:after="240" w:before="240" w:lineRule="auto"/>
        <w:rPr>
          <w:sz w:val="28"/>
          <w:szCs w:val="28"/>
        </w:rPr>
      </w:pPr>
      <w:r w:rsidDel="00000000" w:rsidR="00000000" w:rsidRPr="00000000">
        <w:rPr>
          <w:sz w:val="28"/>
          <w:szCs w:val="28"/>
          <w:rtl w:val="0"/>
        </w:rPr>
        <w:t xml:space="preserve">Start with Land</w:t>
      </w:r>
    </w:p>
    <w:p w:rsidR="00000000" w:rsidDel="00000000" w:rsidP="00000000" w:rsidRDefault="00000000" w:rsidRPr="00000000" w14:paraId="00000004">
      <w:pPr>
        <w:spacing w:after="240" w:before="240" w:lineRule="auto"/>
        <w:rPr/>
      </w:pPr>
      <w:r w:rsidDel="00000000" w:rsidR="00000000" w:rsidRPr="00000000">
        <w:rPr>
          <w:rtl w:val="0"/>
        </w:rPr>
        <w:t xml:space="preserve">We started with the land. To keep the analysis focused on large-scale development opportunities, only </w:t>
      </w:r>
      <w:r w:rsidDel="00000000" w:rsidR="00000000" w:rsidRPr="00000000">
        <w:rPr>
          <w:b w:val="1"/>
          <w:bCs w:val="1"/>
          <w:rtl w:val="0"/>
        </w:rPr>
        <w:t xml:space="preserve">land sales of 10 hectares or more</w:t>
      </w:r>
      <w:r w:rsidDel="00000000" w:rsidR="00000000" w:rsidRPr="00000000">
        <w:rPr>
          <w:rtl w:val="0"/>
        </w:rPr>
        <w:t xml:space="preserve"> were included. Kemps Creek stood out immediately. Across the </w:t>
      </w:r>
      <w:r w:rsidDel="00000000" w:rsidR="00000000" w:rsidRPr="00000000">
        <w:rPr>
          <w:b w:val="1"/>
          <w:bCs w:val="1"/>
          <w:rtl w:val="0"/>
        </w:rPr>
        <w:t xml:space="preserve">Kemps Creek land sales analysed</w:t>
      </w:r>
      <w:r w:rsidDel="00000000" w:rsidR="00000000" w:rsidRPr="00000000">
        <w:rPr>
          <w:rtl w:val="0"/>
        </w:rPr>
        <w:t xml:space="preserve">, the median land rate was </w:t>
      </w:r>
      <w:r w:rsidDel="00000000" w:rsidR="00000000" w:rsidRPr="00000000">
        <w:rPr>
          <w:b w:val="1"/>
          <w:bCs w:val="1"/>
          <w:rtl w:val="0"/>
        </w:rPr>
        <w:t xml:space="preserve">$326.93/m²</w:t>
      </w:r>
      <w:r w:rsidDel="00000000" w:rsidR="00000000" w:rsidRPr="00000000">
        <w:rPr>
          <w:rtl w:val="0"/>
        </w:rPr>
        <w:t xml:space="preserve">, compared with </w:t>
      </w:r>
      <w:r w:rsidDel="00000000" w:rsidR="00000000" w:rsidRPr="00000000">
        <w:rPr>
          <w:b w:val="1"/>
          <w:bCs w:val="1"/>
          <w:rtl w:val="0"/>
        </w:rPr>
        <w:t xml:space="preserve">$216.27/m² across Greater Sydney,</w:t>
      </w:r>
      <w:r w:rsidDel="00000000" w:rsidR="00000000" w:rsidRPr="00000000">
        <w:rPr>
          <w:rtl w:val="0"/>
        </w:rPr>
        <w:t xml:space="preserve"> a </w:t>
      </w:r>
      <w:r w:rsidDel="00000000" w:rsidR="00000000" w:rsidRPr="00000000">
        <w:rPr>
          <w:b w:val="1"/>
          <w:bCs w:val="1"/>
          <w:rtl w:val="0"/>
        </w:rPr>
        <w:t xml:space="preserve">51.2% premium</w:t>
      </w:r>
      <w:r w:rsidDel="00000000" w:rsidR="00000000" w:rsidRPr="00000000">
        <w:rPr>
          <w:rtl w:val="0"/>
        </w:rPr>
        <w:t xml:space="preserve">.</w:t>
      </w:r>
    </w:p>
    <w:p w:rsidR="00000000" w:rsidDel="00000000" w:rsidP="00000000" w:rsidRDefault="00000000" w:rsidRPr="00000000" w14:paraId="00000006">
      <w:pPr>
        <w:spacing w:after="240" w:before="240" w:lineRule="auto"/>
        <w:jc w:val="center"/>
        <w:rPr/>
      </w:pPr>
      <w:r>
        <w:drawing>
          <wp:inline>
            <wp:extent cx="5943600" cy="2600325"/>
            <wp:docPr id="3" name="Picture 3"/>
            <wp:cNvGraphicFramePr>
              <a:graphicFrameLocks noChangeAspect="1"/>
            </wp:cNvGraphicFramePr>
            <a:graphic>
              <a:graphicData uri="http://schemas.openxmlformats.org/drawingml/2006/picture">
                <pic:pic>
                  <pic:nvPicPr>
                    <pic:cNvPr id="0" name="arealytics-01-power-premium-headline.png"/>
                    <pic:cNvPicPr/>
                  </pic:nvPicPr>
                  <pic:blipFill>
                    <a:blip r:embed="rId8"/>
                    <a:stretch>
                      <a:fillRect/>
                    </a:stretch>
                  </pic:blipFill>
                  <pic:spPr>
                    <a:xfrm>
                      <a:off x="0" y="0"/>
                      <a:ext cx="5943600" cy="2600325"/>
                    </a:xfrm>
                    <a:prstGeom prst="rect"/>
                  </pic:spPr>
                </pic:pic>
              </a:graphicData>
            </a:graphic>
          </wp:inline>
        </w:drawing>
      </w:r>
    </w:p>
    <w:p w:rsidR="00000000" w:rsidDel="00000000" w:rsidP="00000000" w:rsidRDefault="00000000" w:rsidRPr="00000000" w14:paraId="00000007">
      <w:pPr>
        <w:spacing w:after="240" w:before="240" w:lineRule="auto"/>
        <w:rPr/>
      </w:pPr>
      <w:r w:rsidDel="00000000" w:rsidR="00000000" w:rsidRPr="00000000">
        <w:rPr>
          <w:rtl w:val="0"/>
        </w:rPr>
      </w:r>
    </w:p>
    <w:p w:rsidR="00000000" w:rsidDel="00000000" w:rsidP="00000000" w:rsidRDefault="00000000" w:rsidRPr="00000000" w14:paraId="00000008">
      <w:pPr>
        <w:spacing w:after="240" w:before="240" w:lineRule="auto"/>
        <w:rPr/>
      </w:pPr>
      <w:r w:rsidDel="00000000" w:rsidR="00000000" w:rsidRPr="00000000">
        <w:rPr>
          <w:rtl w:val="0"/>
        </w:rPr>
        <w:t xml:space="preserve">The land pricing trend is just as telling. </w:t>
      </w:r>
      <w:r w:rsidDel="00000000" w:rsidR="00000000" w:rsidRPr="00000000">
        <w:rPr>
          <w:b w:val="1"/>
          <w:bCs w:val="1"/>
          <w:rtl w:val="0"/>
        </w:rPr>
        <w:t xml:space="preserve">Ten of the 11 highest land rates in the dataset were recorded in Kemps Creek.</w:t>
      </w:r>
      <w:r w:rsidDel="00000000" w:rsidR="00000000" w:rsidRPr="00000000">
        <w:rPr>
          <w:rtl w:val="0"/>
        </w:rPr>
        <w:t xml:space="preserve"> Over the period analysed, the median Kemps Creek land rate increased from </w:t>
      </w:r>
      <w:r w:rsidDel="00000000" w:rsidR="00000000" w:rsidRPr="00000000">
        <w:rPr>
          <w:b w:val="1"/>
          <w:bCs w:val="1"/>
          <w:rtl w:val="0"/>
        </w:rPr>
        <w:t xml:space="preserve">$251.82/m² to $367.68/m²</w:t>
      </w:r>
      <w:r w:rsidDel="00000000" w:rsidR="00000000" w:rsidRPr="00000000">
        <w:rPr>
          <w:rtl w:val="0"/>
        </w:rPr>
        <w:t xml:space="preserve">, a rise of </w:t>
      </w:r>
      <w:r w:rsidDel="00000000" w:rsidR="00000000" w:rsidRPr="00000000">
        <w:rPr>
          <w:b w:val="1"/>
          <w:bCs w:val="1"/>
          <w:rtl w:val="0"/>
        </w:rPr>
        <w:t xml:space="preserve">46.0%</w:t>
      </w:r>
      <w:r w:rsidDel="00000000" w:rsidR="00000000" w:rsidRPr="00000000">
        <w:rPr>
          <w:rtl w:val="0"/>
        </w:rPr>
        <w:t xml:space="preserve">.</w:t>
      </w:r>
    </w:p>
    <w:p w:rsidR="00000000" w:rsidDel="00000000" w:rsidP="00000000" w:rsidRDefault="00000000" w:rsidRPr="00000000" w14:paraId="00000008">
      <w:pPr>
        <w:spacing w:after="240" w:before="240" w:lineRule="auto"/>
        <w:jc w:val="center"/>
        <w:rPr/>
      </w:pPr>
      <w:r>
        <w:drawing>
          <wp:inline>
            <wp:extent cx="5943600" cy="3164967"/>
            <wp:docPr id="5" name="Picture 5"/>
            <wp:cNvGraphicFramePr>
              <a:graphicFrameLocks noChangeAspect="1"/>
            </wp:cNvGraphicFramePr>
            <a:graphic>
              <a:graphicData uri="http://schemas.openxmlformats.org/drawingml/2006/picture">
                <pic:pic>
                  <pic:nvPicPr>
                    <pic:cNvPr id="0" name="arealytics-02-kemps-creek-land.png"/>
                    <pic:cNvPicPr/>
                  </pic:nvPicPr>
                  <pic:blipFill>
                    <a:blip r:embed="rId10"/>
                    <a:stretch>
                      <a:fillRect/>
                    </a:stretch>
                  </pic:blipFill>
                  <pic:spPr>
                    <a:xfrm>
                      <a:off x="0" y="0"/>
                      <a:ext cx="5943600" cy="3164967"/>
                    </a:xfrm>
                    <a:prstGeom prst="rect"/>
                  </pic:spPr>
                </pic:pic>
              </a:graphicData>
            </a:graphic>
          </wp:inline>
        </w:drawing>
      </w:r>
    </w:p>
    <w:p w:rsidR="00000000" w:rsidDel="00000000" w:rsidP="00000000" w:rsidRDefault="00000000" w:rsidRPr="00000000" w14:paraId="00000009">
      <w:pPr>
        <w:spacing w:after="240" w:before="240" w:lineRule="auto"/>
        <w:rPr/>
      </w:pPr>
      <w:r w:rsidDel="00000000" w:rsidR="00000000" w:rsidRPr="00000000">
        <w:rPr>
          <w:rtl w:val="0"/>
        </w:rPr>
        <w:t xml:space="preserve"> These are not all data centre acquisitions. Industrial and logistics users are also buying and developing large sites in the same precincts. A property does not have to become a data centre to feel the effects of data centre demand.</w:t>
      </w:r>
    </w:p>
    <w:p w:rsidR="00000000" w:rsidDel="00000000" w:rsidP="00000000" w:rsidRDefault="00000000" w:rsidRPr="00000000" w14:paraId="0000000A">
      <w:pPr>
        <w:spacing w:after="240" w:before="240" w:lineRule="auto"/>
        <w:rPr/>
      </w:pPr>
      <w:r w:rsidDel="00000000" w:rsidR="00000000" w:rsidRPr="00000000">
        <w:rPr>
          <w:b w:val="1"/>
          <w:bCs w:val="1"/>
          <w:rtl w:val="0"/>
        </w:rPr>
        <w:t xml:space="preserve">That shift is already taking shape in Kemps Creek.</w:t>
      </w:r>
      <w:r w:rsidDel="00000000" w:rsidR="00000000" w:rsidRPr="00000000">
        <w:rPr>
          <w:rtl w:val="0"/>
        </w:rPr>
        <w:t xml:space="preserve"> Microsoft has developed a major data centre campus in the Mamre Road Precinct, with its first building completed in 2026. Projects of this scale compete for the same large, well-located industrial land sought by logistics developers, manufacturers and other occupiers, while placing an even greater emphasis on access to reliable, high-capacity electricity.</w:t>
      </w:r>
    </w:p>
    <w:p w:rsidR="00000000" w:rsidDel="00000000" w:rsidP="00000000" w:rsidRDefault="00000000" w:rsidRPr="00000000" w14:paraId="0000000B">
      <w:pPr>
        <w:spacing w:after="240" w:before="240" w:lineRule="auto"/>
        <w:rPr>
          <w:sz w:val="28"/>
          <w:szCs w:val="28"/>
        </w:rPr>
      </w:pPr>
      <w:r w:rsidDel="00000000" w:rsidR="00000000" w:rsidRPr="00000000">
        <w:rPr>
          <w:sz w:val="28"/>
          <w:szCs w:val="28"/>
          <w:rtl w:val="0"/>
        </w:rPr>
        <w:t xml:space="preserve">The Same Pattern in Built Assets</w:t>
      </w:r>
    </w:p>
    <w:p w:rsidR="00000000" w:rsidDel="00000000" w:rsidP="00000000" w:rsidRDefault="00000000" w:rsidRPr="00000000" w14:paraId="0000000C">
      <w:pPr>
        <w:spacing w:after="240" w:before="240" w:lineRule="auto"/>
        <w:rPr/>
      </w:pPr>
      <w:r w:rsidDel="00000000" w:rsidR="00000000" w:rsidRPr="00000000">
        <w:rPr>
          <w:rtl w:val="0"/>
        </w:rPr>
        <w:t xml:space="preserve">The same pattern appears when analysing industrial buildings transactions. Across the </w:t>
      </w:r>
      <w:r w:rsidDel="00000000" w:rsidR="00000000" w:rsidRPr="00000000">
        <w:rPr>
          <w:b w:val="1"/>
          <w:bCs w:val="1"/>
          <w:rtl w:val="0"/>
        </w:rPr>
        <w:t xml:space="preserve">2021 to 2026 period</w:t>
      </w:r>
      <w:r w:rsidDel="00000000" w:rsidR="00000000" w:rsidRPr="00000000">
        <w:rPr>
          <w:rtl w:val="0"/>
        </w:rPr>
        <w:t xml:space="preserve">, freehold industrial building sales in data-centre-exposed Western Sydney markets, including </w:t>
      </w:r>
      <w:r w:rsidDel="00000000" w:rsidR="00000000" w:rsidRPr="00000000">
        <w:rPr>
          <w:b w:val="1"/>
          <w:bCs w:val="1"/>
          <w:rtl w:val="0"/>
        </w:rPr>
        <w:t xml:space="preserve">Eastern Creek, Huntingwood, Erskine Park and Seven Hills</w:t>
      </w:r>
      <w:r w:rsidDel="00000000" w:rsidR="00000000" w:rsidRPr="00000000">
        <w:rPr>
          <w:rtl w:val="0"/>
        </w:rPr>
        <w:t xml:space="preserve">, recorded a median sale rate of </w:t>
      </w:r>
      <w:r w:rsidDel="00000000" w:rsidR="00000000" w:rsidRPr="00000000">
        <w:rPr>
          <w:b w:val="1"/>
          <w:bCs w:val="1"/>
          <w:rtl w:val="0"/>
        </w:rPr>
        <w:t xml:space="preserve">$4,193/m²</w:t>
      </w:r>
      <w:r w:rsidDel="00000000" w:rsidR="00000000" w:rsidRPr="00000000">
        <w:rPr>
          <w:rtl w:val="0"/>
        </w:rPr>
        <w:t xml:space="preserve">. That compares with </w:t>
      </w:r>
      <w:r w:rsidDel="00000000" w:rsidR="00000000" w:rsidRPr="00000000">
        <w:rPr>
          <w:b w:val="1"/>
          <w:bCs w:val="1"/>
          <w:rtl w:val="0"/>
        </w:rPr>
        <w:t xml:space="preserve">$3,613/m²</w:t>
      </w:r>
      <w:r w:rsidDel="00000000" w:rsidR="00000000" w:rsidRPr="00000000">
        <w:rPr>
          <w:rtl w:val="0"/>
        </w:rPr>
        <w:t xml:space="preserve"> across the other Western Sydney industrial markets analysed, a </w:t>
      </w:r>
      <w:r w:rsidDel="00000000" w:rsidR="00000000" w:rsidRPr="00000000">
        <w:rPr>
          <w:b w:val="1"/>
          <w:bCs w:val="1"/>
          <w:rtl w:val="0"/>
        </w:rPr>
        <w:t xml:space="preserve">16.1% premium</w:t>
      </w:r>
      <w:r w:rsidDel="00000000" w:rsidR="00000000" w:rsidRPr="00000000">
        <w:rPr>
          <w:rtl w:val="0"/>
        </w:rPr>
        <w:t xml:space="preserve">.</w:t>
      </w:r>
    </w:p>
    <w:p w:rsidR="00000000" w:rsidDel="00000000" w:rsidP="00000000" w:rsidRDefault="00000000" w:rsidRPr="00000000" w14:paraId="0000000D">
      <w:pPr>
        <w:spacing w:after="240" w:before="240" w:lineRule="auto"/>
        <w:rPr/>
      </w:pPr>
      <w:r w:rsidDel="00000000" w:rsidR="00000000" w:rsidRPr="00000000">
        <w:rPr>
          <w:rtl w:val="0"/>
        </w:rPr>
      </w:r>
    </w:p>
    <w:p w:rsidR="00000000" w:rsidDel="00000000" w:rsidP="00000000" w:rsidRDefault="00000000" w:rsidRPr="00000000" w14:paraId="0000000F">
      <w:pPr>
        <w:spacing w:after="240" w:before="240" w:lineRule="auto"/>
        <w:jc w:val="center"/>
        <w:rPr/>
      </w:pPr>
      <w:r>
        <w:drawing>
          <wp:inline>
            <wp:extent cx="5943600" cy="3343275"/>
            <wp:docPr id="4" name="Picture 4"/>
            <wp:cNvGraphicFramePr>
              <a:graphicFrameLocks noChangeAspect="1"/>
            </wp:cNvGraphicFramePr>
            <a:graphic>
              <a:graphicData uri="http://schemas.openxmlformats.org/drawingml/2006/picture">
                <pic:pic>
                  <pic:nvPicPr>
                    <pic:cNvPr id="0" name="arealytics-03-submarket-premiums.png"/>
                    <pic:cNvPicPr/>
                  </pic:nvPicPr>
                  <pic:blipFill>
                    <a:blip r:embed="rId9"/>
                    <a:stretch>
                      <a:fillRect/>
                    </a:stretch>
                  </pic:blipFill>
                  <pic:spPr>
                    <a:xfrm>
                      <a:off x="0" y="0"/>
                      <a:ext cx="5943600" cy="3343275"/>
                    </a:xfrm>
                    <a:prstGeom prst="rect"/>
                  </pic:spPr>
                </pic:pic>
              </a:graphicData>
            </a:graphic>
          </wp:inline>
        </w:drawing>
      </w:r>
    </w:p>
    <w:p w:rsidR="00000000" w:rsidDel="00000000" w:rsidP="00000000" w:rsidRDefault="00000000" w:rsidRPr="00000000" w14:paraId="00000010">
      <w:pPr>
        <w:spacing w:after="240" w:before="240" w:lineRule="auto"/>
        <w:rPr/>
      </w:pPr>
      <w:r w:rsidDel="00000000" w:rsidR="00000000" w:rsidRPr="00000000">
        <w:rPr>
          <w:rtl w:val="0"/>
        </w:rPr>
      </w:r>
    </w:p>
    <w:p w:rsidR="00000000" w:rsidDel="00000000" w:rsidP="00000000" w:rsidRDefault="00000000" w:rsidRPr="00000000" w14:paraId="00000011">
      <w:pPr>
        <w:spacing w:after="240" w:before="240" w:lineRule="auto"/>
        <w:rPr>
          <w:u w:val="single"/>
        </w:rPr>
      </w:pPr>
      <w:r w:rsidDel="00000000" w:rsidR="00000000" w:rsidRPr="00000000">
        <w:rPr>
          <w:rtl w:val="0"/>
        </w:rPr>
        <w:t xml:space="preserve">Eastern Creek is already home to a major concentration of digital infrastructure, including CDC’s campus, which has grown to </w:t>
      </w:r>
      <w:r w:rsidDel="00000000" w:rsidR="00000000" w:rsidRPr="00000000">
        <w:rPr>
          <w:b w:val="1"/>
          <w:bCs w:val="1"/>
          <w:rtl w:val="0"/>
        </w:rPr>
        <w:t xml:space="preserve">more than 200 MW of capacity</w:t>
      </w:r>
      <w:r w:rsidDel="00000000" w:rsidR="00000000" w:rsidRPr="00000000">
        <w:rPr>
          <w:rtl w:val="0"/>
        </w:rPr>
        <w:t xml:space="preserve"> across multiple facilities. At the same time, warehouses and logistics facilities continue to experience strong demand, driving new development and increasing occupancy around the </w:t>
      </w:r>
      <w:r w:rsidDel="00000000" w:rsidR="00000000" w:rsidRPr="00000000">
        <w:rPr>
          <w:u w:val="single"/>
          <w:rtl w:val="0"/>
        </w:rPr>
        <w:t xml:space="preserve">new Western Sydney International Airport.</w:t>
      </w:r>
      <w:r w:rsidDel="00000000" w:rsidR="00000000" w:rsidRPr="00000000">
        <w:rPr>
          <w:rtl w:val="0"/>
        </w:rPr>
      </w:r>
    </w:p>
    <w:p w:rsidR="00000000" w:rsidDel="00000000" w:rsidP="00000000" w:rsidRDefault="00000000" w:rsidRPr="00000000" w14:paraId="00000012">
      <w:pPr>
        <w:spacing w:after="240" w:before="240" w:lineRule="auto"/>
        <w:rPr>
          <w:rFonts w:ascii="Roboto" w:cs="Roboto" w:eastAsia="Roboto" w:hAnsi="Roboto"/>
          <w:color w:val="1f1f1f"/>
          <w:sz w:val="21"/>
          <w:szCs w:val="21"/>
        </w:rPr>
      </w:pPr>
      <w:r w:rsidDel="00000000" w:rsidR="00000000" w:rsidRPr="00000000">
        <w:rPr>
          <w:rFonts w:ascii="Roboto" w:cs="Roboto" w:eastAsia="Roboto" w:hAnsi="Roboto"/>
          <w:color w:val="1f1f1f"/>
          <w:sz w:val="21"/>
          <w:szCs w:val="21"/>
          <w:rtl w:val="0"/>
        </w:rPr>
        <w:t xml:space="preserve"> Land sales and improved building sales are </w:t>
      </w:r>
      <w:r w:rsidDel="00000000" w:rsidR="00000000" w:rsidRPr="00000000">
        <w:rPr>
          <w:rFonts w:ascii="Roboto" w:cs="Roboto" w:eastAsia="Roboto" w:hAnsi="Roboto"/>
          <w:color w:val="1f1f1f"/>
          <w:sz w:val="21"/>
          <w:szCs w:val="21"/>
          <w:rtl w:val="0"/>
        </w:rPr>
        <w:t xml:space="preserve">separate</w:t>
      </w:r>
      <w:r w:rsidDel="00000000" w:rsidR="00000000" w:rsidRPr="00000000">
        <w:rPr>
          <w:rFonts w:ascii="Roboto" w:cs="Roboto" w:eastAsia="Roboto" w:hAnsi="Roboto"/>
          <w:color w:val="1f1f1f"/>
          <w:sz w:val="21"/>
          <w:szCs w:val="21"/>
          <w:rtl w:val="0"/>
        </w:rPr>
        <w:t xml:space="preserve"> datasets and were analysed </w:t>
      </w:r>
      <w:r w:rsidDel="00000000" w:rsidR="00000000" w:rsidRPr="00000000">
        <w:rPr>
          <w:rFonts w:ascii="Roboto" w:cs="Roboto" w:eastAsia="Roboto" w:hAnsi="Roboto"/>
          <w:color w:val="1f1f1f"/>
          <w:sz w:val="21"/>
          <w:szCs w:val="21"/>
          <w:rtl w:val="0"/>
        </w:rPr>
        <w:t xml:space="preserve">separately</w:t>
      </w:r>
      <w:r w:rsidDel="00000000" w:rsidR="00000000" w:rsidRPr="00000000">
        <w:rPr>
          <w:rFonts w:ascii="Roboto" w:cs="Roboto" w:eastAsia="Roboto" w:hAnsi="Roboto"/>
          <w:color w:val="1f1f1f"/>
          <w:sz w:val="21"/>
          <w:szCs w:val="21"/>
          <w:rtl w:val="0"/>
        </w:rPr>
        <w:t xml:space="preserve">. Both point the same way: </w:t>
      </w:r>
      <w:r w:rsidDel="00000000" w:rsidR="00000000" w:rsidRPr="00000000">
        <w:rPr>
          <w:rFonts w:ascii="Roboto" w:cs="Roboto" w:eastAsia="Roboto" w:hAnsi="Roboto"/>
          <w:b w:val="1"/>
          <w:bCs w:val="1"/>
          <w:color w:val="1f1f1f"/>
          <w:sz w:val="21"/>
          <w:szCs w:val="21"/>
          <w:rtl w:val="0"/>
        </w:rPr>
        <w:t xml:space="preserve">precincts with significant data centre exposure and access to major power infrastructure command a pricing premium</w:t>
      </w:r>
      <w:r w:rsidDel="00000000" w:rsidR="00000000" w:rsidRPr="00000000">
        <w:rPr>
          <w:rFonts w:ascii="Roboto" w:cs="Roboto" w:eastAsia="Roboto" w:hAnsi="Roboto"/>
          <w:color w:val="1f1f1f"/>
          <w:sz w:val="21"/>
          <w:szCs w:val="21"/>
          <w:rtl w:val="0"/>
        </w:rPr>
        <w:t xml:space="preserve">.</w:t>
      </w:r>
    </w:p>
    <w:p w:rsidR="00000000" w:rsidDel="00000000" w:rsidP="00000000" w:rsidRDefault="00000000" w:rsidRPr="00000000" w14:paraId="00000013">
      <w:pPr>
        <w:spacing w:after="240" w:before="240" w:lineRule="auto"/>
        <w:rPr>
          <w:rFonts w:ascii="Roboto" w:cs="Roboto" w:eastAsia="Roboto" w:hAnsi="Roboto"/>
          <w:color w:val="1f1f1f"/>
          <w:sz w:val="21"/>
          <w:szCs w:val="21"/>
        </w:rPr>
      </w:pPr>
      <w:r w:rsidDel="00000000" w:rsidR="00000000" w:rsidRPr="00000000">
        <w:rPr>
          <w:rFonts w:ascii="Roboto" w:cs="Roboto" w:eastAsia="Roboto" w:hAnsi="Roboto"/>
          <w:color w:val="1f1f1f"/>
          <w:sz w:val="21"/>
          <w:szCs w:val="21"/>
          <w:rtl w:val="0"/>
        </w:rPr>
        <w:t xml:space="preserve">What this means for Industrial Value </w:t>
      </w:r>
      <w:r w:rsidDel="00000000" w:rsidR="00000000" w:rsidRPr="00000000">
        <w:rPr>
          <w:rtl w:val="0"/>
        </w:rPr>
      </w:r>
    </w:p>
    <w:p w:rsidR="00000000" w:rsidDel="00000000" w:rsidP="00000000" w:rsidRDefault="00000000" w:rsidRPr="00000000" w14:paraId="00000014">
      <w:pPr>
        <w:spacing w:after="240" w:before="240" w:lineRule="auto"/>
        <w:rPr/>
      </w:pPr>
      <w:r w:rsidDel="00000000" w:rsidR="00000000" w:rsidRPr="00000000">
        <w:rPr>
          <w:rtl w:val="0"/>
        </w:rPr>
        <w:t xml:space="preserve">For industrial property, roads, labour, logistics networks and access to customers still matter. But in parts of Western Sydney, the location equation is changing.</w:t>
      </w:r>
    </w:p>
    <w:p w:rsidR="00000000" w:rsidDel="00000000" w:rsidP="00000000" w:rsidRDefault="00000000" w:rsidRPr="00000000" w14:paraId="00000015">
      <w:pPr>
        <w:spacing w:after="240" w:before="240" w:lineRule="auto"/>
        <w:rPr>
          <w:b w:val="1"/>
          <w:bCs w:val="1"/>
        </w:rPr>
      </w:pPr>
      <w:r w:rsidDel="00000000" w:rsidR="00000000" w:rsidRPr="00000000">
        <w:rPr>
          <w:b w:val="1"/>
          <w:bCs w:val="1"/>
          <w:rtl w:val="0"/>
        </w:rPr>
        <w:t xml:space="preserve">Power is no longer just an infrastructure consideration.  In Western Sydney’s fastest-growing industrial precincts, it’s a pricing input</w:t>
      </w:r>
    </w:p>
    <w:p w:rsidR="00000000" w:rsidDel="00000000" w:rsidP="00000000" w:rsidRDefault="00000000" w:rsidRPr="00000000" w14:paraId="00000016">
      <w:pPr>
        <w:spacing w:after="240" w:before="240" w:line="276" w:lineRule="auto"/>
        <w:rPr/>
      </w:pPr>
      <w:r w:rsidDel="00000000" w:rsidR="00000000" w:rsidRPr="00000000">
        <w:rPr>
          <w:rtl w:val="0"/>
        </w:rPr>
        <w:t xml:space="preserve">Methodology: Analysis is based on land and building transactions captured and independently verified by Arealytics across Greater Sydney, 2021 to 2026, and may not represent all market activity. Land analysis is limited to sales of 10 hectares or more. Building analysis covers freehold industrial sales; rates are $/m² of gross building area / lettable. 2026 figures are year to date. Figures reflect the position at the time of publication.</w:t>
      </w:r>
      <w:r w:rsidDel="00000000" w:rsidR="00000000" w:rsidRPr="00000000">
        <w:rPr>
          <w:rtl w:val="0"/>
        </w:rPr>
      </w:r>
    </w:p>
    <w:p w:rsidR="00000000" w:rsidDel="00000000" w:rsidP="00000000" w:rsidRDefault="00000000" w:rsidRPr="00000000" w14:paraId="00000017">
      <w:pPr>
        <w:spacing w:after="240" w:before="240" w:lineRule="auto"/>
        <w:rPr/>
      </w:pPr>
      <w:r w:rsidDel="00000000" w:rsidR="00000000" w:rsidRPr="00000000">
        <w:rPr>
          <w:rtl w:val="0"/>
        </w:rPr>
        <w:t xml:space="preserve">Data for first image:</w:t>
      </w:r>
    </w:p>
    <w:p w:rsidR="00000000" w:rsidDel="00000000" w:rsidP="00000000" w:rsidRDefault="00000000" w:rsidRPr="00000000" w14:paraId="00000018">
      <w:pPr>
        <w:spacing w:after="240" w:before="240" w:lineRule="auto"/>
        <w:rPr>
          <w:b w:val="1"/>
          <w:bCs w:val="1"/>
        </w:rPr>
      </w:pPr>
      <w:r w:rsidDel="00000000" w:rsidR="00000000" w:rsidRPr="00000000">
        <w:rPr>
          <w:b w:val="1"/>
          <w:bCs w:val="1"/>
          <w:rtl w:val="0"/>
        </w:rPr>
        <w:t xml:space="preserve">Land | 10+ Hectare Sales</w:t>
      </w:r>
    </w:p>
    <w:p w:rsidR="00000000" w:rsidDel="00000000" w:rsidP="00000000" w:rsidRDefault="00000000" w:rsidRPr="00000000" w14:paraId="00000019">
      <w:pPr>
        <w:spacing w:after="240" w:before="240" w:lineRule="auto"/>
        <w:rPr>
          <w:b w:val="1"/>
          <w:bCs w:val="1"/>
        </w:rPr>
      </w:pPr>
      <w:r w:rsidDel="00000000" w:rsidR="00000000" w:rsidRPr="00000000">
        <w:rPr>
          <w:b w:val="1"/>
          <w:bCs w:val="1"/>
          <w:rtl w:val="0"/>
        </w:rPr>
        <w:t xml:space="preserve">Kemps Creek</w:t>
      </w:r>
    </w:p>
    <w:p w:rsidR="00000000" w:rsidDel="00000000" w:rsidP="00000000" w:rsidRDefault="00000000" w:rsidRPr="00000000" w14:paraId="0000001A">
      <w:pPr>
        <w:numPr>
          <w:ilvl w:val="0"/>
          <w:numId w:val="6"/>
        </w:numPr>
        <w:spacing w:after="0" w:afterAutospacing="0" w:before="240" w:lineRule="auto"/>
        <w:ind w:left="720" w:hanging="360"/>
      </w:pPr>
      <w:r w:rsidDel="00000000" w:rsidR="00000000" w:rsidRPr="00000000">
        <w:rPr>
          <w:rtl w:val="0"/>
        </w:rPr>
        <w:t xml:space="preserve">Median sale rate: </w:t>
      </w:r>
      <w:r w:rsidDel="00000000" w:rsidR="00000000" w:rsidRPr="00000000">
        <w:rPr>
          <w:b w:val="1"/>
          <w:bCs w:val="1"/>
          <w:rtl w:val="0"/>
        </w:rPr>
        <w:t xml:space="preserve">$326.93/m²</w:t>
      </w:r>
    </w:p>
    <w:p w:rsidR="00000000" w:rsidDel="00000000" w:rsidP="00000000" w:rsidRDefault="00000000" w:rsidRPr="00000000" w14:paraId="0000001B">
      <w:pPr>
        <w:numPr>
          <w:ilvl w:val="0"/>
          <w:numId w:val="6"/>
        </w:numPr>
        <w:spacing w:after="0" w:afterAutospacing="0" w:before="0" w:beforeAutospacing="0" w:lineRule="auto"/>
        <w:ind w:left="720" w:hanging="360"/>
      </w:pPr>
      <w:r w:rsidDel="00000000" w:rsidR="00000000" w:rsidRPr="00000000">
        <w:rPr>
          <w:rtl w:val="0"/>
        </w:rPr>
        <w:t xml:space="preserve">Other Greater Sydney submarkets analysed: </w:t>
      </w:r>
      <w:r w:rsidDel="00000000" w:rsidR="00000000" w:rsidRPr="00000000">
        <w:rPr>
          <w:b w:val="1"/>
          <w:bCs w:val="1"/>
          <w:rtl w:val="0"/>
        </w:rPr>
        <w:t xml:space="preserve">$216.27/m²</w:t>
      </w:r>
    </w:p>
    <w:p w:rsidR="00000000" w:rsidDel="00000000" w:rsidP="00000000" w:rsidRDefault="00000000" w:rsidRPr="00000000" w14:paraId="0000001C">
      <w:pPr>
        <w:numPr>
          <w:ilvl w:val="0"/>
          <w:numId w:val="6"/>
        </w:numPr>
        <w:spacing w:after="240" w:before="0" w:beforeAutospacing="0" w:lineRule="auto"/>
        <w:ind w:left="720" w:hanging="360"/>
      </w:pPr>
      <w:r w:rsidDel="00000000" w:rsidR="00000000" w:rsidRPr="00000000">
        <w:rPr>
          <w:rtl w:val="0"/>
        </w:rPr>
        <w:t xml:space="preserve">Pricing premium: </w:t>
      </w:r>
      <w:r w:rsidDel="00000000" w:rsidR="00000000" w:rsidRPr="00000000">
        <w:rPr>
          <w:b w:val="1"/>
          <w:bCs w:val="1"/>
          <w:rtl w:val="0"/>
        </w:rPr>
        <w:t xml:space="preserve">+51.2%</w:t>
      </w:r>
    </w:p>
    <w:p w:rsidR="00000000" w:rsidDel="00000000" w:rsidP="00000000" w:rsidRDefault="00000000" w:rsidRPr="00000000" w14:paraId="0000001D">
      <w:pPr>
        <w:spacing w:after="240" w:before="240" w:lineRule="auto"/>
        <w:rPr/>
      </w:pPr>
      <w:r w:rsidDel="00000000" w:rsidR="00000000" w:rsidRPr="00000000">
        <w:rPr>
          <w:rtl w:val="0"/>
        </w:rPr>
      </w:r>
    </w:p>
    <w:p w:rsidR="00000000" w:rsidDel="00000000" w:rsidP="00000000" w:rsidRDefault="00000000" w:rsidRPr="00000000" w14:paraId="0000001E">
      <w:pPr>
        <w:spacing w:after="240" w:before="240" w:lineRule="auto"/>
        <w:rPr/>
      </w:pPr>
      <w:r w:rsidDel="00000000" w:rsidR="00000000" w:rsidRPr="00000000">
        <w:rPr>
          <w:rtl w:val="0"/>
        </w:rPr>
      </w:r>
    </w:p>
    <w:p w:rsidR="00000000" w:rsidDel="00000000" w:rsidP="00000000" w:rsidRDefault="00000000" w:rsidRPr="00000000" w14:paraId="0000001F">
      <w:pPr>
        <w:spacing w:after="240" w:before="240" w:lineRule="auto"/>
        <w:rPr/>
      </w:pPr>
      <w:r w:rsidDel="00000000" w:rsidR="00000000" w:rsidRPr="00000000">
        <w:rPr>
          <w:rtl w:val="0"/>
        </w:rPr>
      </w:r>
    </w:p>
    <w:p w:rsidR="00000000" w:rsidDel="00000000" w:rsidP="00000000" w:rsidRDefault="00000000" w:rsidRPr="00000000" w14:paraId="00000020">
      <w:pPr>
        <w:spacing w:after="240" w:before="240" w:lineRule="auto"/>
        <w:rPr/>
      </w:pPr>
      <w:r w:rsidDel="00000000" w:rsidR="00000000" w:rsidRPr="00000000">
        <w:rPr>
          <w:rtl w:val="0"/>
        </w:rPr>
        <w:t xml:space="preserve">Data for second image:</w:t>
      </w:r>
    </w:p>
    <w:p w:rsidR="00000000" w:rsidDel="00000000" w:rsidP="00000000" w:rsidRDefault="00000000" w:rsidRPr="00000000" w14:paraId="00000021">
      <w:pPr>
        <w:spacing w:after="240" w:before="240" w:lineRule="auto"/>
        <w:rPr>
          <w:b w:val="1"/>
          <w:bCs w:val="1"/>
        </w:rPr>
      </w:pPr>
      <w:r w:rsidDel="00000000" w:rsidR="00000000" w:rsidRPr="00000000">
        <w:rPr>
          <w:b w:val="1"/>
          <w:bCs w:val="1"/>
          <w:rtl w:val="0"/>
        </w:rPr>
        <w:t xml:space="preserve">Comparison benchmark</w:t>
      </w:r>
    </w:p>
    <w:p w:rsidR="00000000" w:rsidDel="00000000" w:rsidP="00000000" w:rsidRDefault="00000000" w:rsidRPr="00000000" w14:paraId="00000022">
      <w:pPr>
        <w:numPr>
          <w:ilvl w:val="0"/>
          <w:numId w:val="5"/>
        </w:numPr>
        <w:spacing w:after="240" w:before="240" w:lineRule="auto"/>
        <w:ind w:left="720" w:hanging="360"/>
      </w:pPr>
      <w:r w:rsidDel="00000000" w:rsidR="00000000" w:rsidRPr="00000000">
        <w:rPr>
          <w:rtl w:val="0"/>
        </w:rPr>
        <w:t xml:space="preserve">Other Western Sydney markets median sale rate: </w:t>
      </w:r>
      <w:r w:rsidDel="00000000" w:rsidR="00000000" w:rsidRPr="00000000">
        <w:rPr>
          <w:b w:val="1"/>
          <w:bCs w:val="1"/>
          <w:rtl w:val="0"/>
        </w:rPr>
        <w:t xml:space="preserve">$3,613/m²</w:t>
      </w:r>
    </w:p>
    <w:p w:rsidR="00000000" w:rsidDel="00000000" w:rsidP="00000000" w:rsidRDefault="00000000" w:rsidRPr="00000000" w14:paraId="00000023">
      <w:pPr>
        <w:spacing w:after="240" w:before="240" w:lineRule="auto"/>
        <w:rPr>
          <w:b w:val="1"/>
          <w:bCs w:val="1"/>
        </w:rPr>
      </w:pPr>
      <w:r w:rsidDel="00000000" w:rsidR="00000000" w:rsidRPr="00000000">
        <w:rPr>
          <w:b w:val="1"/>
          <w:bCs w:val="1"/>
          <w:rtl w:val="0"/>
        </w:rPr>
        <w:t xml:space="preserve">Eastern Creek</w:t>
      </w:r>
    </w:p>
    <w:p w:rsidR="00000000" w:rsidDel="00000000" w:rsidP="00000000" w:rsidRDefault="00000000" w:rsidRPr="00000000" w14:paraId="00000024">
      <w:pPr>
        <w:numPr>
          <w:ilvl w:val="0"/>
          <w:numId w:val="2"/>
        </w:numPr>
        <w:spacing w:after="0" w:afterAutospacing="0" w:before="240" w:lineRule="auto"/>
        <w:ind w:left="720" w:hanging="360"/>
      </w:pPr>
      <w:r w:rsidDel="00000000" w:rsidR="00000000" w:rsidRPr="00000000">
        <w:rPr>
          <w:rtl w:val="0"/>
        </w:rPr>
        <w:t xml:space="preserve">Median sale rate: </w:t>
      </w:r>
      <w:r w:rsidDel="00000000" w:rsidR="00000000" w:rsidRPr="00000000">
        <w:rPr>
          <w:b w:val="1"/>
          <w:bCs w:val="1"/>
          <w:rtl w:val="0"/>
        </w:rPr>
        <w:t xml:space="preserve">$4,423/m²</w:t>
      </w:r>
    </w:p>
    <w:p w:rsidR="00000000" w:rsidDel="00000000" w:rsidP="00000000" w:rsidRDefault="00000000" w:rsidRPr="00000000" w14:paraId="00000025">
      <w:pPr>
        <w:numPr>
          <w:ilvl w:val="0"/>
          <w:numId w:val="2"/>
        </w:numPr>
        <w:spacing w:after="0" w:afterAutospacing="0" w:before="0" w:beforeAutospacing="0" w:lineRule="auto"/>
        <w:ind w:left="720" w:hanging="360"/>
      </w:pPr>
      <w:r w:rsidDel="00000000" w:rsidR="00000000" w:rsidRPr="00000000">
        <w:rPr>
          <w:rtl w:val="0"/>
        </w:rPr>
        <w:t xml:space="preserve">Premium to comparison benchmark: </w:t>
      </w:r>
      <w:r w:rsidDel="00000000" w:rsidR="00000000" w:rsidRPr="00000000">
        <w:rPr>
          <w:b w:val="1"/>
          <w:bCs w:val="1"/>
          <w:rtl w:val="0"/>
        </w:rPr>
        <w:t xml:space="preserve">+22.4%</w:t>
      </w:r>
    </w:p>
    <w:p w:rsidR="00000000" w:rsidDel="00000000" w:rsidP="00000000" w:rsidRDefault="00000000" w:rsidRPr="00000000" w14:paraId="00000026">
      <w:pPr>
        <w:numPr>
          <w:ilvl w:val="0"/>
          <w:numId w:val="2"/>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Calculation: ($4,423 ÷ $3,613 − 1) × 100 = </w:t>
      </w:r>
      <w:r w:rsidDel="00000000" w:rsidR="00000000" w:rsidRPr="00000000">
        <w:rPr>
          <w:b w:val="1"/>
          <w:bCs w:val="1"/>
          <w:rtl w:val="0"/>
        </w:rPr>
        <w:t xml:space="preserve">22.4%</w:t>
      </w:r>
    </w:p>
    <w:p w:rsidR="00000000" w:rsidDel="00000000" w:rsidP="00000000" w:rsidRDefault="00000000" w:rsidRPr="00000000" w14:paraId="00000027">
      <w:pPr>
        <w:spacing w:after="240" w:before="240" w:lineRule="auto"/>
        <w:rPr>
          <w:b w:val="1"/>
          <w:bCs w:val="1"/>
        </w:rPr>
      </w:pPr>
      <w:r w:rsidDel="00000000" w:rsidR="00000000" w:rsidRPr="00000000">
        <w:rPr>
          <w:b w:val="1"/>
          <w:bCs w:val="1"/>
          <w:rtl w:val="0"/>
        </w:rPr>
        <w:t xml:space="preserve">Seven Hills</w:t>
      </w:r>
    </w:p>
    <w:p w:rsidR="00000000" w:rsidDel="00000000" w:rsidP="00000000" w:rsidRDefault="00000000" w:rsidRPr="00000000" w14:paraId="00000028">
      <w:pPr>
        <w:numPr>
          <w:ilvl w:val="0"/>
          <w:numId w:val="4"/>
        </w:numPr>
        <w:spacing w:after="0" w:afterAutospacing="0" w:before="240" w:lineRule="auto"/>
        <w:ind w:left="720" w:hanging="360"/>
      </w:pPr>
      <w:r w:rsidDel="00000000" w:rsidR="00000000" w:rsidRPr="00000000">
        <w:rPr>
          <w:rtl w:val="0"/>
        </w:rPr>
        <w:t xml:space="preserve">Median sale rate: </w:t>
      </w:r>
      <w:r w:rsidDel="00000000" w:rsidR="00000000" w:rsidRPr="00000000">
        <w:rPr>
          <w:b w:val="1"/>
          <w:bCs w:val="1"/>
          <w:rtl w:val="0"/>
        </w:rPr>
        <w:t xml:space="preserve">$4,254/m²</w:t>
      </w:r>
    </w:p>
    <w:p w:rsidR="00000000" w:rsidDel="00000000" w:rsidP="00000000" w:rsidRDefault="00000000" w:rsidRPr="00000000" w14:paraId="00000029">
      <w:pPr>
        <w:numPr>
          <w:ilvl w:val="0"/>
          <w:numId w:val="4"/>
        </w:numPr>
        <w:spacing w:after="0" w:afterAutospacing="0" w:before="0" w:beforeAutospacing="0" w:lineRule="auto"/>
        <w:ind w:left="720" w:hanging="360"/>
      </w:pPr>
      <w:r w:rsidDel="00000000" w:rsidR="00000000" w:rsidRPr="00000000">
        <w:rPr>
          <w:rtl w:val="0"/>
        </w:rPr>
        <w:t xml:space="preserve">Premium to comparison benchmark: </w:t>
      </w:r>
      <w:r w:rsidDel="00000000" w:rsidR="00000000" w:rsidRPr="00000000">
        <w:rPr>
          <w:b w:val="1"/>
          <w:bCs w:val="1"/>
          <w:rtl w:val="0"/>
        </w:rPr>
        <w:t xml:space="preserve">+17.7%</w:t>
      </w:r>
    </w:p>
    <w:p w:rsidR="00000000" w:rsidDel="00000000" w:rsidP="00000000" w:rsidRDefault="00000000" w:rsidRPr="00000000" w14:paraId="0000002A">
      <w:pPr>
        <w:numPr>
          <w:ilvl w:val="0"/>
          <w:numId w:val="4"/>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Calculation: ($4,254 ÷ $3,613 − 1) × 100 = </w:t>
      </w:r>
      <w:r w:rsidDel="00000000" w:rsidR="00000000" w:rsidRPr="00000000">
        <w:rPr>
          <w:b w:val="1"/>
          <w:bCs w:val="1"/>
          <w:rtl w:val="0"/>
        </w:rPr>
        <w:t xml:space="preserve">17.7%</w:t>
      </w:r>
    </w:p>
    <w:p w:rsidR="00000000" w:rsidDel="00000000" w:rsidP="00000000" w:rsidRDefault="00000000" w:rsidRPr="00000000" w14:paraId="0000002B">
      <w:pPr>
        <w:spacing w:after="240" w:before="240" w:lineRule="auto"/>
        <w:rPr>
          <w:b w:val="1"/>
          <w:bCs w:val="1"/>
        </w:rPr>
      </w:pPr>
      <w:r w:rsidDel="00000000" w:rsidR="00000000" w:rsidRPr="00000000">
        <w:rPr>
          <w:b w:val="1"/>
          <w:bCs w:val="1"/>
          <w:rtl w:val="0"/>
        </w:rPr>
        <w:t xml:space="preserve">Huntingwood</w:t>
      </w:r>
    </w:p>
    <w:p w:rsidR="00000000" w:rsidDel="00000000" w:rsidP="00000000" w:rsidRDefault="00000000" w:rsidRPr="00000000" w14:paraId="0000002C">
      <w:pPr>
        <w:numPr>
          <w:ilvl w:val="0"/>
          <w:numId w:val="3"/>
        </w:numPr>
        <w:spacing w:after="0" w:afterAutospacing="0" w:before="240" w:lineRule="auto"/>
        <w:ind w:left="720" w:hanging="360"/>
      </w:pPr>
      <w:r w:rsidDel="00000000" w:rsidR="00000000" w:rsidRPr="00000000">
        <w:rPr>
          <w:rtl w:val="0"/>
        </w:rPr>
        <w:t xml:space="preserve">Median sale rate: </w:t>
      </w:r>
      <w:r w:rsidDel="00000000" w:rsidR="00000000" w:rsidRPr="00000000">
        <w:rPr>
          <w:b w:val="1"/>
          <w:bCs w:val="1"/>
          <w:rtl w:val="0"/>
        </w:rPr>
        <w:t xml:space="preserve">$4,181/m²</w:t>
      </w:r>
    </w:p>
    <w:p w:rsidR="00000000" w:rsidDel="00000000" w:rsidP="00000000" w:rsidRDefault="00000000" w:rsidRPr="00000000" w14:paraId="0000002D">
      <w:pPr>
        <w:numPr>
          <w:ilvl w:val="0"/>
          <w:numId w:val="3"/>
        </w:numPr>
        <w:spacing w:after="0" w:afterAutospacing="0" w:before="0" w:beforeAutospacing="0" w:lineRule="auto"/>
        <w:ind w:left="720" w:hanging="360"/>
      </w:pPr>
      <w:r w:rsidDel="00000000" w:rsidR="00000000" w:rsidRPr="00000000">
        <w:rPr>
          <w:rtl w:val="0"/>
        </w:rPr>
        <w:t xml:space="preserve">Premium to comparison benchmark: </w:t>
      </w:r>
      <w:r w:rsidDel="00000000" w:rsidR="00000000" w:rsidRPr="00000000">
        <w:rPr>
          <w:b w:val="1"/>
          <w:bCs w:val="1"/>
          <w:rtl w:val="0"/>
        </w:rPr>
        <w:t xml:space="preserve">+15.7%</w:t>
      </w:r>
    </w:p>
    <w:p w:rsidR="00000000" w:rsidDel="00000000" w:rsidP="00000000" w:rsidRDefault="00000000" w:rsidRPr="00000000" w14:paraId="0000002E">
      <w:pPr>
        <w:numPr>
          <w:ilvl w:val="0"/>
          <w:numId w:val="3"/>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Calculation: ($4,181 ÷ $3,613 − 1) × 100 = </w:t>
      </w:r>
      <w:r w:rsidDel="00000000" w:rsidR="00000000" w:rsidRPr="00000000">
        <w:rPr>
          <w:b w:val="1"/>
          <w:bCs w:val="1"/>
          <w:rtl w:val="0"/>
        </w:rPr>
        <w:t xml:space="preserve">15.7%</w:t>
      </w:r>
    </w:p>
    <w:p w:rsidR="00000000" w:rsidDel="00000000" w:rsidP="00000000" w:rsidRDefault="00000000" w:rsidRPr="00000000" w14:paraId="0000002F">
      <w:pPr>
        <w:spacing w:after="240" w:before="240" w:lineRule="auto"/>
        <w:rPr>
          <w:b w:val="1"/>
          <w:bCs w:val="1"/>
        </w:rPr>
      </w:pPr>
      <w:r w:rsidDel="00000000" w:rsidR="00000000" w:rsidRPr="00000000">
        <w:rPr>
          <w:b w:val="1"/>
          <w:bCs w:val="1"/>
          <w:rtl w:val="0"/>
        </w:rPr>
        <w:t xml:space="preserve">Erskine Park</w:t>
      </w:r>
    </w:p>
    <w:p w:rsidR="00000000" w:rsidDel="00000000" w:rsidP="00000000" w:rsidRDefault="00000000" w:rsidRPr="00000000" w14:paraId="00000030">
      <w:pPr>
        <w:numPr>
          <w:ilvl w:val="0"/>
          <w:numId w:val="1"/>
        </w:numPr>
        <w:spacing w:after="0" w:afterAutospacing="0" w:before="240" w:lineRule="auto"/>
        <w:ind w:left="720" w:hanging="360"/>
      </w:pPr>
      <w:r w:rsidDel="00000000" w:rsidR="00000000" w:rsidRPr="00000000">
        <w:rPr>
          <w:rtl w:val="0"/>
        </w:rPr>
        <w:t xml:space="preserve">Median sale rate: </w:t>
      </w:r>
      <w:r w:rsidDel="00000000" w:rsidR="00000000" w:rsidRPr="00000000">
        <w:rPr>
          <w:b w:val="1"/>
          <w:bCs w:val="1"/>
          <w:rtl w:val="0"/>
        </w:rPr>
        <w:t xml:space="preserve">$3,853/m²</w:t>
      </w:r>
    </w:p>
    <w:p w:rsidR="00000000" w:rsidDel="00000000" w:rsidP="00000000" w:rsidRDefault="00000000" w:rsidRPr="00000000" w14:paraId="00000031">
      <w:pPr>
        <w:numPr>
          <w:ilvl w:val="0"/>
          <w:numId w:val="1"/>
        </w:numPr>
        <w:spacing w:after="0" w:afterAutospacing="0" w:before="0" w:beforeAutospacing="0" w:lineRule="auto"/>
        <w:ind w:left="720" w:hanging="360"/>
      </w:pPr>
      <w:r w:rsidDel="00000000" w:rsidR="00000000" w:rsidRPr="00000000">
        <w:rPr>
          <w:rtl w:val="0"/>
        </w:rPr>
        <w:t xml:space="preserve">Premium to comparison benchmark: </w:t>
      </w:r>
      <w:r w:rsidDel="00000000" w:rsidR="00000000" w:rsidRPr="00000000">
        <w:rPr>
          <w:b w:val="1"/>
          <w:bCs w:val="1"/>
          <w:rtl w:val="0"/>
        </w:rPr>
        <w:t xml:space="preserve">+6.7%</w:t>
      </w:r>
    </w:p>
    <w:p w:rsidR="00000000" w:rsidDel="00000000" w:rsidP="00000000" w:rsidRDefault="00000000" w:rsidRPr="00000000" w14:paraId="00000032">
      <w:pPr>
        <w:numPr>
          <w:ilvl w:val="0"/>
          <w:numId w:val="1"/>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Calculation: ($3,853 ÷ $3,613 − 1) × 100 = </w:t>
      </w:r>
      <w:r w:rsidDel="00000000" w:rsidR="00000000" w:rsidRPr="00000000">
        <w:rPr>
          <w:b w:val="1"/>
          <w:bCs w:val="1"/>
          <w:rtl w:val="0"/>
        </w:rPr>
        <w:t xml:space="preserve">6.7%</w:t>
      </w:r>
    </w:p>
    <w:p w:rsidR="00000000" w:rsidDel="00000000" w:rsidP="00000000" w:rsidRDefault="00000000" w:rsidRPr="00000000" w14:paraId="00000033">
      <w:pPr>
        <w:spacing w:after="240" w:befor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